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Malgun Gothic" w:hAnsi="Malgun Gothic" w:eastAsia="맑은 고딕"/>
          <w:sz w:val="18"/>
        </w:rPr>
        <w:t xml:space="preserve">교육 영상 시연용 가상 자료</w:t>
      </w:r>
    </w:p>
    <w:p>
      <w:pPr>
        <w:spacing w:after="200"/>
      </w:pPr>
      <w:r>
        <w:rPr>
          <w:rFonts w:ascii="Malgun Gothic" w:hAnsi="Malgun Gothic" w:eastAsia="맑은 고딕"/>
          <w:sz w:val="36"/>
        </w:rPr>
        <w:t xml:space="preserve">한결물류 | 2027년 1분기 매출 예측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1 / 2 · 의사결정 요약 · 기준일 2026-11-02 · 부가세 별도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기본 예측 41억 2,830만 원. 목표 42억 원 대비 7,170만 원 부족하다. 목표 대비 98.29%다.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기존 계약 31억 2,000만 원 + 신규 기본 10억 830만 원으로 구성한다. 신규분은 확정 매출이 아니다.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보수 예측은 35억 3,970만 원: 기존 계약에 최근 연락과 계약일이 정상인 협상·계약 직전 8건의 기대액 4억 1,970만 원을 더했다. 보장 금액이 아니다.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60건 → 중복 2건 제외 → 금액 빈칸 3건 보류 → 분기 밖 7건 제외 → 48건 반영. 반영분 중 위험 조정 10건.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판단 요청: 운영팀은 확정 물량부터 검토하고 신규분은 계약·가동일을 확인한 뒤 차량·창고를 단계적으로 확보한다. 매출액만으로 자원량을 확정하지 않는다.</w:t>
      </w:r>
    </w:p>
    <w:p>
      <w:r>
        <w:br w:type="page"/>
      </w:r>
    </w:p>
    <w:p>
      <w:pPr>
        <w:spacing w:after="200"/>
      </w:pPr>
      <w:r>
        <w:rPr>
          <w:rFonts w:ascii="Malgun Gothic" w:hAnsi="Malgun Gothic" w:eastAsia="맑은 고딕"/>
          <w:sz w:val="18"/>
        </w:rPr>
        <w:t xml:space="preserve">교육 영상 시연용 가상 자료</w:t>
      </w:r>
    </w:p>
    <w:p>
      <w:pPr>
        <w:spacing w:after="200"/>
      </w:pPr>
      <w:r>
        <w:rPr>
          <w:rFonts w:ascii="Malgun Gothic" w:hAnsi="Malgun Gothic" w:eastAsia="맑은 고딕"/>
          <w:sz w:val="36"/>
        </w:rPr>
        <w:t xml:space="preserve">한결물류 | 위험과 이번 주 확인할 일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2 / 2 · 담당·기한은 교육용 제안이며 미승인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금액 확인 3건: 서지아 OP-007, 오하린 OP-024, 정민수 OP-041. 제안 기한 2026-11-06. 금액이 확인되기 전에는 예측에 더하지 않는다.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위험 조정 10건: 미연락 60일 초과 또는 지난 계약 예정일. 각 담당자가 최근 연락·계약일을 확인하고 영업팀장에게 변경 근거를 전달한다.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담당자 확률로 정리 전 계산하면 기존 포함 46억 9,680만 원이다. 같은 재료에 기준을 적용한 기본 예측과 5억 6,850만 원 차이가 난다. 이는 정확도 개선 실적이나 절감 실적이 아니다.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운영 협의: 차량 임차·창고 공간은 수주 가능성과 실제 가동일을 함께 보고, 가예약 해제 조건·확인 날짜를 정한다. 고객의 재고·생산 계획 공유도 계약 확인 이후로 한다.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지난 4분기 모두 과대 예측. 최근 분기 차이는 4억 8,600만 원, 실제 매출 대비 14.24%. 이 과거 오차를 이번 예측에서 일괄 차감하지 않는다.</w:t>
      </w:r>
    </w:p>
    <w:p>
      <w:pPr>
        <w:spacing w:after="200"/>
      </w:pPr>
      <w:r>
        <w:rPr>
          <w:rFonts w:ascii="Malgun Gothic" w:hAnsi="Malgun Gothic" w:eastAsia="맑은 고딕"/>
          <w:sz w:val="24"/>
        </w:rPr>
        <w:t xml:space="preserve">다시 확인할 것: 기존 계약 분기 매출, 빈칸 회신, 위험 10건, 실제 물량·가동일. 최종 예약과 목표 변경은 경영진·운영팀·재무 담당 승인 후 결정한다.</w:t>
      </w:r>
    </w:p>
    <w:sectPr>
      <w:pgSz w:w="11906" w:h="16838"/>
      <w:pgMar w:top="1000" w:right="1100" w:bottom="1000" w:left="1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