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협상 시나리오 · B안 목표 / 합의 전</w:t>
      </w:r>
    </w:p>
    <w:p>
      <w:r>
        <w:t>대현테크(가명) · 자동차 부품 제조 · 평택 2공장</w:t>
      </w:r>
    </w:p>
    <w:p>
      <w:pPr>
        <w:pStyle w:val="Heading1"/>
      </w:pPr>
      <w:r>
        <w:t>1. 제시 순서와 맞바꿀 조건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구분</w:t>
            </w:r>
          </w:p>
        </w:tc>
        <w:tc>
          <w:tcPr>
            <w:tcW w:type="dxa" w:w="2880"/>
          </w:tcPr>
          <w:p>
            <w:r>
              <w:t>우리 제안</w:t>
            </w:r>
          </w:p>
        </w:tc>
        <w:tc>
          <w:tcPr>
            <w:tcW w:type="dxa" w:w="2880"/>
          </w:tcPr>
          <w:p>
            <w:r>
              <w:t>얻어야 할 것</w:t>
            </w:r>
          </w:p>
        </w:tc>
      </w:tr>
      <w:tr>
        <w:tc>
          <w:tcPr>
            <w:tcW w:type="dxa" w:w="2880"/>
          </w:tcPr>
          <w:p>
            <w:r>
              <w:t>첫 제안</w:t>
            </w:r>
          </w:p>
        </w:tc>
        <w:tc>
          <w:tcPr>
            <w:tcW w:type="dxa" w:w="2880"/>
          </w:tcPr>
          <w:p>
            <w:r>
              <w:t>원료 몫 40% 연동</w:t>
            </w:r>
          </w:p>
        </w:tc>
        <w:tc>
          <w:tcPr>
            <w:tcW w:type="dxa" w:w="2880"/>
          </w:tcPr>
          <w:p>
            <w:r>
              <w:t>공급처 원가 근거 공동 확인</w:t>
            </w:r>
          </w:p>
        </w:tc>
      </w:tr>
      <w:tr>
        <w:tc>
          <w:tcPr>
            <w:tcW w:type="dxa" w:w="2880"/>
          </w:tcPr>
          <w:p>
            <w:r>
              <w:t>가격</w:t>
            </w:r>
          </w:p>
        </w:tc>
        <w:tc>
          <w:tcPr>
            <w:tcW w:type="dxa" w:w="2880"/>
          </w:tcPr>
          <w:p>
            <w:r>
              <w:t>기준단가 대비 ±5%</w:t>
            </w:r>
          </w:p>
        </w:tc>
        <w:tc>
          <w:tcPr>
            <w:tcW w:type="dxa" w:w="2880"/>
          </w:tcPr>
          <w:p>
            <w:r>
              <w:t>인상·인하 대칭과 상하한 명시</w:t>
            </w:r>
          </w:p>
        </w:tc>
      </w:tr>
      <w:tr>
        <w:tc>
          <w:tcPr>
            <w:tcW w:type="dxa" w:w="2880"/>
          </w:tcPr>
          <w:p>
            <w:r>
              <w:t>물량</w:t>
            </w:r>
          </w:p>
        </w:tc>
        <w:tc>
          <w:tcPr>
            <w:tcW w:type="dxa" w:w="2880"/>
          </w:tcPr>
          <w:p>
            <w:r>
              <w:t>연 80~120%</w:t>
            </w:r>
          </w:p>
        </w:tc>
        <w:tc>
          <w:tcPr>
            <w:tcW w:type="dxa" w:w="2880"/>
          </w:tcPr>
          <w:p>
            <w:r>
              <w:t>구간 안 변동에 단가 불이익 없음</w:t>
            </w:r>
          </w:p>
        </w:tc>
      </w:tr>
      <w:tr>
        <w:tc>
          <w:tcPr>
            <w:tcW w:type="dxa" w:w="2880"/>
          </w:tcPr>
          <w:p>
            <w:r>
              <w:t>운영</w:t>
            </w:r>
          </w:p>
        </w:tc>
        <w:tc>
          <w:tcPr>
            <w:tcW w:type="dxa" w:w="2880"/>
          </w:tcPr>
          <w:p>
            <w:r>
              <w:t>확정 8주 발주</w:t>
            </w:r>
          </w:p>
        </w:tc>
        <w:tc>
          <w:tcPr>
            <w:tcW w:type="dxa" w:w="2880"/>
          </w:tcPr>
          <w:p>
            <w:r>
              <w:t>허용구간 밖은 자동 인수 없이 재협의</w:t>
            </w:r>
          </w:p>
        </w:tc>
      </w:tr>
    </w:tbl>
    <w:p>
      <w:r>
        <w:t>가격만 낮춰달라고 하지 않는다. 확정 발주 8주와 지수 자료 공동 확인을 주는 대신, 인하 반영과 물량 여유를 받는다.</w:t>
      </w:r>
    </w:p>
    <w:p>
      <w:r>
        <w:t>원료 몫 40%는 내부 가정이다. 실제 합의는 원가 근거를 확인한 뒤 승인한다.</w:t>
      </w:r>
    </w:p>
    <w:p>
      <w:r>
        <w:br w:type="page"/>
      </w:r>
    </w:p>
    <w:p>
      <w:pPr>
        <w:pStyle w:val="Heading1"/>
      </w:pPr>
      <w:r>
        <w:t>2. 반론별 대화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상대의 말</w:t>
            </w:r>
          </w:p>
        </w:tc>
        <w:tc>
          <w:tcPr>
            <w:tcW w:type="dxa" w:w="4320"/>
          </w:tcPr>
          <w:p>
            <w:r>
              <w:t>구매 담당 답변 예시</w:t>
            </w:r>
          </w:p>
        </w:tc>
      </w:tr>
      <w:tr>
        <w:tc>
          <w:tcPr>
            <w:tcW w:type="dxa" w:w="4320"/>
          </w:tcPr>
          <w:p>
            <w:r>
              <w:t>전체 단가를 올려야 합니다</w:t>
            </w:r>
          </w:p>
        </w:tc>
        <w:tc>
          <w:tcPr>
            <w:tcW w:type="dxa" w:w="4320"/>
          </w:tcPr>
          <w:p>
            <w:r>
              <w:t>원료 외 비용은 근거를 따로 보겠습니다. 우선 원료 몫을 확인하고 그 부분부터 같은 기준으로 조정하죠.</w:t>
            </w:r>
          </w:p>
        </w:tc>
      </w:tr>
      <w:tr>
        <w:tc>
          <w:tcPr>
            <w:tcW w:type="dxa" w:w="4320"/>
          </w:tcPr>
          <w:p>
            <w:r>
              <w:t>상한 5%면 급등을 못 버팁니다</w:t>
            </w:r>
          </w:p>
        </w:tc>
        <w:tc>
          <w:tcPr>
            <w:tcW w:type="dxa" w:w="4320"/>
          </w:tcPr>
          <w:p>
            <w:r>
              <w:t>원가 근거와 공급 지속 가능성을 함께 확인하죠. 예외는 자동 인상 대신 별도 승인과 적용기간을 정하겠습니다.</w:t>
            </w:r>
          </w:p>
        </w:tc>
      </w:tr>
      <w:tr>
        <w:tc>
          <w:tcPr>
            <w:tcW w:type="dxa" w:w="4320"/>
          </w:tcPr>
          <w:p>
            <w:r>
              <w:t>물량 90%는 사야 합니다</w:t>
            </w:r>
          </w:p>
        </w:tc>
        <w:tc>
          <w:tcPr>
            <w:tcW w:type="dxa" w:w="4320"/>
          </w:tcPr>
          <w:p>
            <w:r>
              <w:t>8주 확정 발주는 지키되 연간 감소는 향후 발주와 납기를 먼저 조정하죠. 미달 전액 구매는 승인 없이 약속하기 어렵습니다.</w:t>
            </w:r>
          </w:p>
        </w:tc>
      </w:tr>
      <w:tr>
        <w:tc>
          <w:tcPr>
            <w:tcW w:type="dxa" w:w="4320"/>
          </w:tcPr>
          <w:p>
            <w:r>
              <w:t>지수가 내려가도 가공비가 올랐습니다</w:t>
            </w:r>
          </w:p>
        </w:tc>
        <w:tc>
          <w:tcPr>
            <w:tcW w:type="dxa" w:w="4320"/>
          </w:tcPr>
          <w:p>
            <w:r>
              <w:t>가공비는 근거를 별도 확인하고, 원료 인하는 합의한 기준대로 반영하는 안으로 나눠 보죠.</w:t>
            </w:r>
          </w:p>
        </w:tc>
      </w:tr>
    </w:tbl>
    <w:p>
      <w:r>
        <w:br w:type="page"/>
      </w:r>
    </w:p>
    <w:p>
      <w:pPr>
        <w:pStyle w:val="Heading1"/>
      </w:pPr>
      <w:r>
        <w:t>3. 회의 종료 전 남길 기록</w:t>
      </w:r>
    </w:p>
    <w:p>
      <w:r>
        <w:t>A안 비용 12억 6,000만 원, B안 12억 1,500만 원, C안 12억 7,200만 원. 분기 30만 개 동일 물량, 부가세 별도, 운송비 포함의 예시다.</w:t>
      </w:r>
    </w:p>
    <w:p>
      <w:r>
        <w:t>B안의 A안 대비 차이 4,500만 원은 가격만 비교한 예시이고 확정 절감이 아니다. B안은 기준 12억 원보다 1,500만 원 높다.</w:t>
      </w:r>
    </w:p>
    <w:p>
      <w:r>
        <w:t>물량 70%면 84만 개, 허용하한 96만 개보다 12만 개 적다. 전액 인수 가정을 받아들이면 기준단가만으로 1억 2,000만 원의 현금 부담이 생긴다. 손실로 단정하지 않는다.</w:t>
      </w:r>
    </w:p>
    <w:p>
      <w:r>
        <w:t>합의 / 미합의 / 확인 담당 / 답변 기한을 표로 남긴다. 공급처 합의와 사내 승인 전에는 최종 계약으로 배포하지 않는다.</w:t>
      </w:r>
    </w:p>
    <w:sectPr w:rsidR="00FC693F" w:rsidRPr="0006063C" w:rsidSect="00034616">
      <w:footerReference w:type="default" r:id="rId9"/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· 내부 검토 예시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b w:val="0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