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견적 요청 준비 검증 보고</w:t>
      </w:r>
    </w:p>
    <w:p>
      <w:pPr>
        <w:pStyle w:val="Heading1"/>
      </w:pPr>
      <w:r>
        <w:t>팀장 보고 1장</w:t>
      </w:r>
    </w:p>
    <w:p>
      <w:r>
        <w:t>교육 영상 시연용 가상 자료</w:t>
      </w:r>
    </w:p>
    <w:p>
      <w:r>
        <w:t>결론: 교육용 초안 완성. 실제 발송은 정식 R1 도면 승인·첨부와 담당 연락처 확정 후 진행.</w:t>
      </w:r>
    </w:p>
    <w:p>
      <w:r>
        <w:t>물량: 원본300행 - 복사중복12행 = 유효288행. 수량 빈칸4행·계획월 빈칸6행은 확인 회신 2쪽 근거로 보완. 12개월×2,400개=28,800개. 샘플20개는 별도.</w:t>
      </w:r>
    </w:p>
    <w:p>
      <w:r>
        <w:t>도면 충돌: R0 길이58 → 회신 1쪽 R1 길이60.0 ±0.2 mm. R0 배포 제외.</w:t>
      </w:r>
    </w:p>
    <w:p>
      <w:r>
        <w:t>평가 시험: A92.00점, B81.09점. C는 연간총액5,000만 원이어도 사양 미확인으로 보류하고 최저가 계산에서 제외.</w:t>
      </w:r>
    </w:p>
    <w:p>
      <w:r>
        <w:t>실제 지출 별도 승인: 샘플·초도·세금. 비교총액과 발주금액은 같다고 가정하지 않음.</w:t>
      </w:r>
    </w:p>
    <w:p>
      <w:r>
        <w:t>시간 예시: 요청 준비12시간→7시간, 5시간 확보. 재입찰 대응6시간×시간당4만원=24만원 상당의 재작업 예시. 현금 절감·보장 효과 아님.</w:t>
      </w:r>
    </w:p>
    <w:p>
      <w:r>
        <w:t>외부 배포 전: 정식 도면, 승인자 확인, 연락 창구, 공통 버전, 제외 파일, 빈칸·예외 처리 점검.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실습용 · 실제 발송 전 회사 승인 및 기술 검토 필요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대현테크(가명) 평택 2공장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