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r>
        <w:rPr>
          <w:sz w:val="38"/>
        </w:rPr>
        <w:t>부품 세척기 도입 조건과 추가 회신</w:t>
      </w:r>
    </w:p>
    <w:p>
      <w:r>
        <w:t>대현테크(가명) · 구매팀 · 평택 2공장 · 2026-11-03</w:t>
      </w:r>
    </w:p>
    <w:p>
      <w:r>
        <w:t>1. 비교 범위</w:t>
      </w:r>
    </w:p>
    <w:p>
      <w:r>
        <w:t>3안 모두 1대, 시간당 120개, 요구 청정도와 설치 8주 충족은 가상으로 확인했다. 연 4,000시간, 사용 5년으로 비교한다.</w:t>
      </w:r>
    </w:p>
    <w:p>
      <w:r>
        <w:t>비교는 부가세 별도 명목금액이다. 감가상각비·금융비용·세금 효과는 넣지 않는다. 장비값과 감가상각을 함께 더하지 않는다.</w:t>
      </w:r>
    </w:p>
    <w:p>
      <w:r>
        <w:t>전력비와 소모품비만 사용시간에 비례한다. 정기정비·큰 부품 교체는 달력 기준으로 유지한다. 시간당 생산량은 구매 적격성 확인용이며 매출 증가로 환산하지 않는다.</w:t>
      </w:r>
    </w:p>
    <w:p>
      <w:r>
        <w:t>2. 원자료 읽는 순서</w:t>
      </w:r>
    </w:p>
    <w:p>
      <w:r>
        <w:t>견적 시트 → 운영비 시트 → 보증범위 이미지 → 이 문서 추가회신 순서로 대조한다. 월별전력예산 36행의 연 합계를 운영비와 맞춘다.</w:t>
      </w:r>
    </w:p>
    <w:p>
      <w:r>
        <w:t>B 장비값 11,000만 원은 부가세 포함이다. 1.1로 나눈 10,000만 원으로 비교한다. 운송설치 500만 원은 이미 부가세 별도다.</w:t>
      </w:r>
    </w:p>
    <w:p>
      <w:r>
        <w:t>C 처리비는 견적 빈칸이다. 공란은 0이 아니다. 회신을 보기 전에는 확인 필요로 표시한다.</w:t>
      </w:r>
    </w:p>
    <w:p>
      <w:r>
        <w:t>5년 말 매각 예상액은 A 1,000, B 1,500, C 1,200만 원으로 내부 추정이다. 매각대금 수입이므로 합계에서 뺀다. 보장된 매입 확약이 아니다.</w:t>
      </w:r>
    </w:p>
    <w:p>
      <w:r>
        <w:br w:type="page"/>
      </w:r>
    </w:p>
    <w:p>
      <w:r>
        <w:t>교육 영상 시연용 가상 자료</w:t>
      </w:r>
    </w:p>
    <w:p>
      <w:r>
        <w:t>3. 추가회신 — 교육용 가상 회신</w:t>
      </w:r>
    </w:p>
    <w:p>
      <w:r>
        <w:t>2026-11-03 / 다온기술(가명) 영업 담당: C 장비의 5년 말 철거·처리비는 부가세 별도 300만 원이다. 견적 금액과 별도다.</w:t>
      </w:r>
    </w:p>
    <w:p>
      <w:r>
        <w:t>2026-11-03 / 나래설비(가명) 서비스 담당: B는 첫 2년 정기정비 0, 이후 연 400만 원이다. 4년차 큰 부품 교체 500만 원은 정기정비와 별개다. 유상 출장비는 별도이며 단가와 예상 횟수는 아직 미회신이다.</w:t>
      </w:r>
    </w:p>
    <w:p>
      <w:r>
        <w:t>2026-11-03 / 가람기전(가명) 서비스 담당: A 정기정비는 첫해 0, 이후 연 600만 원이다. 3년차 큰 부품 교체 800만 원은 별도다.</w:t>
      </w:r>
    </w:p>
    <w:p>
      <w:r>
        <w:t>4. 합계를 확정하기 전에</w:t>
      </w:r>
    </w:p>
    <w:p>
      <w:r>
        <w:t>B 출장비를 기본 합계에서 숨기지 말고 미포함 금액 미확인으로 기록한다. 5년 합계 추가액이 2,750만 원이면 A와 동률, 그보다 크면 우위가 사라진다. 이는 다른 조건 동일일 때의 예시다.</w:t>
      </w:r>
    </w:p>
    <w:p>
      <w:r>
        <w:t>세 안의 예기치 않은 정지시간과 중단 손실은 자료가 없어 미산정이다. 정비 견적과 출장 조건을 서면으로 받은 뒤 최종 결재한다.</w:t>
      </w:r>
    </w:p>
    <w:p>
      <w:r>
        <w:t>외부 AI 사용 전 회사 자료 반출 규정을 확인한다. 실제 업체·담당자명은 가명으로 바꾸고 민감한 단가의 반출 허용 범위를 확인한다.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