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교육 영상 시연용 가상 자료</w:t>
      </w:r>
    </w:p>
    <w:p>
      <w:pPr>
        <w:pStyle w:val="Title"/>
      </w:pPr>
      <w:r>
        <w:t>시나리오 대응 보고 · 검토용 완성 예시</w:t>
      </w:r>
    </w:p>
    <w:p>
      <w:pPr>
        <w:pStyle w:val="Heading1"/>
      </w:pPr>
      <w:r>
        <w:t>1. 결정을 요청할 내용</w:t>
      </w:r>
    </w:p>
    <w:p>
      <w:r>
        <w:t>한결물류 평택센터의 불리 조건 연이익은 48백만원으로 기준보다 120백만원 낮다. A 사용량 개선안을 시험할지 승인 요청한다. 효과는 미확정이며 검토용이다.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조건</w:t>
            </w:r>
          </w:p>
        </w:tc>
        <w:tc>
          <w:tcPr>
            <w:tcW w:type="dxa" w:w="2880"/>
          </w:tcPr>
          <w:p>
            <w:r>
              <w:t>연매출(백만원)</w:t>
            </w:r>
          </w:p>
        </w:tc>
        <w:tc>
          <w:tcPr>
            <w:tcW w:type="dxa" w:w="2880"/>
          </w:tcPr>
          <w:p>
            <w:r>
              <w:t>연이익(백만원)</w:t>
            </w:r>
          </w:p>
        </w:tc>
      </w:tr>
      <w:tr>
        <w:tc>
          <w:tcPr>
            <w:tcW w:type="dxa" w:w="2880"/>
          </w:tcPr>
          <w:p>
            <w:r>
              <w:t>기준</w:t>
            </w:r>
          </w:p>
        </w:tc>
        <w:tc>
          <w:tcPr>
            <w:tcW w:type="dxa" w:w="2880"/>
          </w:tcPr>
          <w:p>
            <w:r>
              <w:t>1200</w:t>
            </w:r>
          </w:p>
        </w:tc>
        <w:tc>
          <w:tcPr>
            <w:tcW w:type="dxa" w:w="2880"/>
          </w:tcPr>
          <w:p>
            <w:r>
              <w:t>168.0</w:t>
            </w:r>
          </w:p>
        </w:tc>
      </w:tr>
      <w:tr>
        <w:tc>
          <w:tcPr>
            <w:tcW w:type="dxa" w:w="2880"/>
          </w:tcPr>
          <w:p>
            <w:r>
              <w:t>불리</w:t>
            </w:r>
          </w:p>
        </w:tc>
        <w:tc>
          <w:tcPr>
            <w:tcW w:type="dxa" w:w="2880"/>
          </w:tcPr>
          <w:p>
            <w:r>
              <w:t>1200</w:t>
            </w:r>
          </w:p>
        </w:tc>
        <w:tc>
          <w:tcPr>
            <w:tcW w:type="dxa" w:w="2880"/>
          </w:tcPr>
          <w:p>
            <w:r>
              <w:t>48.0</w:t>
            </w:r>
          </w:p>
        </w:tc>
      </w:tr>
      <w:tr>
        <w:tc>
          <w:tcPr>
            <w:tcW w:type="dxa" w:w="2880"/>
          </w:tcPr>
          <w:p>
            <w:r>
              <w:t>유리</w:t>
            </w:r>
          </w:p>
        </w:tc>
        <w:tc>
          <w:tcPr>
            <w:tcW w:type="dxa" w:w="2880"/>
          </w:tcPr>
          <w:p>
            <w:r>
              <w:t>1200</w:t>
            </w:r>
          </w:p>
        </w:tc>
        <w:tc>
          <w:tcPr>
            <w:tcW w:type="dxa" w:w="2880"/>
          </w:tcPr>
          <w:p>
            <w:r>
              <w:t>228.0</w:t>
            </w:r>
          </w:p>
        </w:tc>
      </w:tr>
    </w:tbl>
    <w:p>
      <w:r>
        <w:t>기간 2026년1~12월, 부가세 제외 영업이익. 매출·물량 동일. 환율과 국내원자재 원화 가격만 변경. 확률 없는 가정 비교이며 전망이 아니다.</w:t>
      </w:r>
    </w:p>
    <w:p>
      <w:pPr>
        <w:pStyle w:val="Heading1"/>
      </w:pPr>
      <w:r>
        <w:t>2. 감소 원인과 대응</w:t>
      </w:r>
    </w:p>
    <w:p>
      <w:r>
        <w:t>환율 영향 48백만원 + 국내원자재 영향72백만원 = 연120백만원 감소. 국내원자재 지수에 환율을 다시 적용하지 않는다.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대안</w:t>
            </w:r>
          </w:p>
        </w:tc>
        <w:tc>
          <w:tcPr>
            <w:tcW w:type="dxa" w:w="2160"/>
          </w:tcPr>
          <w:p>
            <w:r>
              <w:t>순개선(백만원)</w:t>
            </w:r>
          </w:p>
        </w:tc>
        <w:tc>
          <w:tcPr>
            <w:tcW w:type="dxa" w:w="2160"/>
          </w:tcPr>
          <w:p>
            <w:r>
              <w:t>대응 후 이익(백만원)</w:t>
            </w:r>
          </w:p>
        </w:tc>
        <w:tc>
          <w:tcPr>
            <w:tcW w:type="dxa" w:w="2160"/>
          </w:tcPr>
          <w:p>
            <w:r>
              <w:t>미확인</w:t>
            </w:r>
          </w:p>
        </w:tc>
      </w:tr>
      <w:tr>
        <w:tc>
          <w:tcPr>
            <w:tcW w:type="dxa" w:w="2160"/>
          </w:tcPr>
          <w:p>
            <w:r>
              <w:t>A 사용량5% 개선 / 1월부터12개월</w:t>
            </w:r>
          </w:p>
        </w:tc>
        <w:tc>
          <w:tcPr>
            <w:tcW w:type="dxa" w:w="2160"/>
          </w:tcPr>
          <w:p>
            <w:r>
              <w:t>14.4</w:t>
            </w:r>
          </w:p>
        </w:tc>
        <w:tc>
          <w:tcPr>
            <w:tcW w:type="dxa" w:w="2160"/>
          </w:tcPr>
          <w:p>
            <w:r>
              <w:t>62.4</w:t>
            </w:r>
          </w:p>
        </w:tc>
        <w:tc>
          <w:tcPr>
            <w:tcW w:type="dxa" w:w="2160"/>
          </w:tcPr>
          <w:p>
            <w:r>
              <w:t>파손·납기 영향, 최종 승인</w:t>
            </w:r>
          </w:p>
        </w:tc>
      </w:tr>
      <w:tr>
        <w:tc>
          <w:tcPr>
            <w:tcW w:type="dxa" w:w="2160"/>
          </w:tcPr>
          <w:p>
            <w:r>
              <w:t>B 대상운임2% 조정 / 4월부터9개월</w:t>
            </w:r>
          </w:p>
        </w:tc>
        <w:tc>
          <w:tcPr>
            <w:tcW w:type="dxa" w:w="2160"/>
          </w:tcPr>
          <w:p>
            <w:r>
              <w:t>10.8</w:t>
            </w:r>
          </w:p>
        </w:tc>
        <w:tc>
          <w:tcPr>
            <w:tcW w:type="dxa" w:w="2160"/>
          </w:tcPr>
          <w:p>
            <w:r>
              <w:t>58.8</w:t>
            </w:r>
          </w:p>
        </w:tc>
        <w:tc>
          <w:tcPr>
            <w:tcW w:type="dxa" w:w="2160"/>
          </w:tcPr>
          <w:p>
            <w:r>
              <w:t>고객 동의·이탈 영향</w:t>
            </w:r>
          </w:p>
        </w:tc>
      </w:tr>
    </w:tbl>
    <w:p>
      <w:r>
        <w:br w:type="page"/>
      </w:r>
    </w:p>
    <w:p>
      <w:pPr>
        <w:pStyle w:val="Heading1"/>
      </w:pPr>
      <w:r>
        <w:t>3. 승인 전에 확인</w:t>
      </w:r>
    </w:p>
    <w:p>
      <w:r>
        <w:t>A: 월 총절감1.8백만원에서 도입비0.6백만원을 빼면 순개선1.2백만원. 연14.4백만원이다. 승인되지 않은 두 대안을 합산하지 않는다.</w:t>
      </w:r>
    </w:p>
    <w:p>
      <w:r>
        <w:t>A 개선 효과가0%면 연 도입비7.2백만원만 발생, 불리 이익40.8백만원이다. 효과를 확인하기 전 비용 투입을 확정하지 않는다.</w:t>
      </w:r>
    </w:p>
    <w:p>
      <w:r>
        <w:t>김OO 대리: 자료 취합·매월 첫 영업일 갱신 / 재무 담당: 계산·환율 확인 / 센터장: 운영 영향·비용 승인. 모두 역할 예시다.</w:t>
      </w:r>
    </w:p>
    <w:p>
      <w:r>
        <w:t>경고선: 월이익5백만원 미만, 환율1,450원 이상 또는 지수115 이상. 경고는 검토 요청이며 자동 비용 집행이 아니다.</w:t>
      </w:r>
    </w:p>
    <w:p>
      <w:r>
        <w:t>원본은 보존하고 결과는 날짜가 붙은 새 파일로 저장한다. 정리 행수·합계·변경 원인·미확인 사항을 확인한 뒤 보고한다.</w:t>
      </w:r>
    </w:p>
    <w:sectPr w:rsidR="00FC693F" w:rsidRPr="0006063C" w:rsidSect="00034616">
      <w:foot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교육 영상 시연용 가상 자료 | 한결물류(가명)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