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</w:rPr>
        <w:t>교육 영상 시연용 가상 자료 · 회사·인물·숫자는 모두 가상입니다</w:t>
      </w:r>
    </w:p>
    <w:p>
      <w:r>
        <w:rPr>
          <w:sz w:val="32"/>
        </w:rPr>
        <w:t>운영본부 3년 투자 요청 (운영본부장)</w:t>
      </w:r>
    </w:p>
    <w:p>
      <w:pPr>
        <w:pStyle w:val="ListBullet"/>
      </w:pPr>
      <w:r>
        <w:t>이천 출고 일부 평택 이관: 27년 3억, 28년 2억. 평택 공간 약 2,500㎡ 필요. 지연 줄면 용차·보상 연 2.5억 절감.</w:t>
      </w:r>
    </w:p>
    <w:p>
      <w:pPr>
        <w:pStyle w:val="ListBullet"/>
      </w:pPr>
      <w:r>
        <w:t>배차·재고 시스템 전환: 3년 합계 14억(27년 6억, 28년 5억, 29년 3억). 수작업 줄어 연 4억 절감. IT팀과 같이.</w:t>
      </w:r>
    </w:p>
    <w:p>
      <w:pPr>
        <w:pStyle w:val="ListBullet"/>
      </w:pPr>
      <w:r>
        <w:t>협력 운송사 장기 계약: 27·28년 각 5천만 원. 연 1.5억 절감 기대.</w:t>
      </w:r>
    </w:p>
    <w:p>
      <w:pPr>
        <w:pStyle w:val="ListBullet"/>
      </w:pPr>
      <w:r>
        <w:t>전기 화물차 시범 5대: 27·28년 각 2억. 연료비 연 0.6억 절감.</w:t>
      </w:r>
    </w:p>
    <w:p>
      <w:pPr>
        <w:pStyle w:val="ListBullet"/>
      </w:pPr>
      <w:r>
        <w:t>이천센터 자동화 설비: 27년 10억, 28년 12억. 연 3.5억 절감.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