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전사 핵심 지표 정의서 · 완성 예시</w:t>
      </w:r>
    </w:p>
    <w:p>
      <w:r>
        <w:t>한결물류(가명) · 기획팀 김OO 대리 · 평택센터·안성센터(가상)</w:t>
      </w:r>
    </w:p>
    <w:p>
      <w:r>
        <w:t>강의 전 준비한 비교용 완성 예시 · 기준일 2026년 11월 2일 · 월별 갱신</w:t>
      </w:r>
    </w:p>
    <w:p>
      <w:pPr>
        <w:pStyle w:val="Heading2"/>
      </w:pPr>
      <w:r>
        <w:t>매출</w:t>
      </w:r>
    </w:p>
    <w:p>
      <w:r>
        <w:t>뜻과 계산: 확정 매출 합계</w:t>
        <w:br/>
        <w:t>원본: 영업_매출 / 매출</w:t>
        <w:br/>
        <w:t>단위: 만원 / 좋은 방향: 높을수록 / 월 목표(예시): 78,000</w:t>
        <w:br/>
        <w:t>확인 부서: 영업팀</w:t>
        <w:br/>
        <w:t>주의: 중복 제외, 원→만원; 마감일 기준</w:t>
      </w:r>
    </w:p>
    <w:p>
      <w:pPr>
        <w:pStyle w:val="Heading2"/>
      </w:pPr>
      <w:r>
        <w:t>영업이익률</w:t>
      </w:r>
    </w:p>
    <w:p>
      <w:r>
        <w:t>뜻과 계산: (매출 − 영업비용) ÷ 매출</w:t>
        <w:br/>
        <w:t>원본: 영업_매출 + 재무_비용</w:t>
        <w:br/>
        <w:t>단위: % / 좋은 방향: 높을수록 / 월 목표(예시): 10%</w:t>
        <w:br/>
        <w:t>확인 부서: 재무팀</w:t>
        <w:br/>
        <w:t>주의: 매출 0이면 계산 제외; 반올림 전 판정</w:t>
      </w:r>
    </w:p>
    <w:p>
      <w:pPr>
        <w:pStyle w:val="Heading2"/>
      </w:pPr>
      <w:r>
        <w:t>정시 배송률</w:t>
      </w:r>
    </w:p>
    <w:p>
      <w:r>
        <w:t>뜻과 계산: 정시 배송 합계 ÷ 전체 배송 합계</w:t>
        <w:br/>
        <w:t>원본: 운영_배송 / 정시·전체 배송</w:t>
        <w:br/>
        <w:t>단위: % / 좋은 방향: 높을수록 / 월 목표(예시): 97%</w:t>
        <w:br/>
        <w:t>확인 부서: 운영팀</w:t>
        <w:br/>
        <w:t>주의: 센터별 비율 평균 금지; 전체 배송 0이면 계산 제외</w:t>
      </w:r>
    </w:p>
    <w:p>
      <w:pPr>
        <w:pStyle w:val="Heading2"/>
      </w:pPr>
      <w:r>
        <w:t>천 건당 불만</w:t>
      </w:r>
    </w:p>
    <w:p>
      <w:r>
        <w:t>뜻과 계산: 불만 발생 배송 합계 ÷ 전체 배송 합계 × 1,000</w:t>
        <w:br/>
        <w:t>원본: 운영_배송 / 불만·전체 배송</w:t>
        <w:br/>
        <w:t>단위: 건 / 좋은 방향: 낮을수록 / 월 목표(예시): 15</w:t>
        <w:br/>
        <w:t>확인 부서: 운영팀</w:t>
        <w:br/>
        <w:t>주의: 같은 배송의 여러 불만은 한 건; 분모 0이면 계산 제외</w:t>
      </w:r>
    </w:p>
    <w:p>
      <w:pPr>
        <w:pStyle w:val="Heading2"/>
      </w:pPr>
      <w:r>
        <w:t>첫 문의 해결률</w:t>
      </w:r>
    </w:p>
    <w:p>
      <w:r>
        <w:t>뜻과 계산: 첫 문의 해결 합계 ÷ 전체 문의 합계</w:t>
        <w:br/>
        <w:t>원본: 고객지원_문의 / 해결·전체 문의</w:t>
        <w:br/>
        <w:t>단위: % / 좋은 방향: 높을수록 / 월 목표(예시): 90%</w:t>
        <w:br/>
        <w:t>확인 부서: 고객지원팀</w:t>
        <w:br/>
        <w:t>주의: 안성 135건은 메모 3항으로 보완; 빈칸과 0 구분</w:t>
      </w:r>
    </w:p>
    <w:p>
      <w:pPr>
        <w:pStyle w:val="Heading2"/>
      </w:pPr>
      <w:r>
        <w:t>공통 기준</w:t>
      </w:r>
    </w:p>
    <w:p>
      <w:r>
        <w:t>2026년 8~10월, 두 센터 전체. 금액 부가세 제외, 만원 기준. 목표와 같으면 달성. 비율 차이는 %p. 표시만 반올림하고 판정은 원래 값으로 한다. 빠진 자료는 확인 필요, 분모 0은 계산 제외. 원본은 수정하지 않는다.</w:t>
      </w:r>
    </w:p>
    <w:sectPr w:rsidR="00FC693F" w:rsidRPr="0006063C" w:rsidSect="00034616">
      <w:footerReference w:type="default" r:id="rId9"/>
      <w:pgSz w:w="12240" w:h="15840"/>
      <w:pgMar w:top="964" w:right="1800" w:bottom="907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맑은 고딕" w:hAnsi="맑은 고딕" w:eastAsia="맑은 고딕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맑은 고딕" w:hAnsi="맑은 고딕" w:eastAsia="맑은 고딕"/>
      <w:sz w:val="2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맑은 고딕" w:hAnsi="맑은 고딕" w:eastAsia="맑은 고딕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맑은 고딕" w:hAnsi="맑은 고딕" w:eastAsia="맑은 고딕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맑은 고딕" w:hAnsi="맑은 고딕" w:eastAsia="맑은 고딕"/>
      <w:b/>
      <w:bCs/>
      <w:i/>
      <w:iCs/>
      <w:color w:val="4F81BD" w:themeColor="accent1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맑은 고딕" w:hAnsi="맑은 고딕" w:eastAsia="맑은 고딕"/>
      <w:color w:val="243F60" w:themeColor="accent1" w:themeShade="7F"/>
      <w:sz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맑은 고딕" w:hAnsi="맑은 고딕" w:eastAsia="맑은 고딕"/>
      <w:i/>
      <w:iCs/>
      <w:color w:val="243F60" w:themeColor="accent1" w:themeShade="7F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맑은 고딕" w:hAnsi="맑은 고딕" w:eastAsia="맑은 고딕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맑은 고딕" w:hAnsi="맑은 고딕" w:eastAsia="맑은 고딕"/>
      <w:sz w:val="20"/>
    </w:rPr>
  </w:style>
  <w:style w:type="table" w:default="1" w:styleId="TableNormal">
    <w:name w:val="Normal Table"/>
    <w:uiPriority w:val="99"/>
    <w:semiHidden/>
    <w:unhideWhenUsed/>
    <w:rPr>
      <w:rFonts w:ascii="맑은 고딕" w:hAnsi="맑은 고딕" w:eastAsia="맑은 고딕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맑은 고딕" w:hAnsi="맑은 고딕" w:eastAsia="맑은 고딕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2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20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맑은 고딕" w:hAnsi="맑은 고딕" w:eastAsia="맑은 고딕"/>
      <w:i/>
      <w:iCs/>
      <w:color w:val="4F81BD" w:themeColor="accent1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맑은 고딕" w:hAnsi="맑은 고딕" w:eastAsia="맑은 고딕"/>
      <w:i/>
      <w:iCs/>
      <w:color w:val="4F81BD" w:themeColor="accent1"/>
      <w:spacing w:val="15"/>
      <w:sz w:val="20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맑은 고딕" w:hAnsi="맑은 고딕" w:eastAsia="맑은 고딕"/>
      <w:sz w:val="2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맑은 고딕" w:hAnsi="맑은 고딕" w:eastAsia="맑은 고딕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맑은 고딕" w:hAnsi="맑은 고딕" w:eastAsia="맑은 고딕"/>
      <w:sz w:val="2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맑은 고딕" w:hAnsi="맑은 고딕" w:eastAsia="맑은 고딕"/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맑은 고딕" w:hAnsi="맑은 고딕" w:eastAsia="맑은 고딕"/>
      <w:sz w:val="2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맑은 고딕" w:hAnsi="맑은 고딕" w:eastAsia="맑은 고딕"/>
      <w:sz w:val="20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맑은 고딕" w:hAnsi="맑은 고딕" w:eastAsia="맑은 고딕"/>
      <w:sz w:val="20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맑은 고딕" w:hAnsi="맑은 고딕" w:eastAsia="맑은 고딕"/>
      <w:sz w:val="2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맑은 고딕" w:hAnsi="맑은 고딕" w:eastAsia="맑은 고딕"/>
      <w:sz w:val="2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맑은 고딕" w:hAnsi="맑은 고딕" w:eastAsia="맑은 고딕"/>
      <w:sz w:val="2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맑은 고딕" w:hAnsi="맑은 고딕" w:eastAsia="맑은 고딕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맑은 고딕" w:hAnsi="맑은 고딕" w:eastAsia="맑은 고딕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맑은 고딕" w:hAnsi="맑은 고딕" w:eastAsia="맑은 고딕"/>
      <w:sz w:val="2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맑은 고딕" w:hAnsi="맑은 고딕" w:eastAsia="맑은 고딕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맑은 고딕" w:hAnsi="맑은 고딕" w:eastAsia="맑은 고딕"/>
      <w:sz w:val="2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맑은 고딕" w:hAnsi="맑은 고딕" w:eastAsia="맑은 고딕"/>
      <w:sz w:val="2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맑은 고딕" w:hAnsi="맑은 고딕" w:eastAsia="맑은 고딕"/>
      <w:sz w:val="2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맑은 고딕" w:hAnsi="맑은 고딕" w:eastAsia="맑은 고딕"/>
      <w:sz w:val="2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맑은 고딕" w:hAnsi="맑은 고딕" w:eastAsia="맑은 고딕"/>
      <w:sz w:val="2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맑은 고딕" w:hAnsi="맑은 고딕" w:eastAsia="맑은 고딕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맑은 고딕" w:hAnsi="맑은 고딕" w:eastAsia="맑은 고딕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맑은 고딕" w:hAnsi="맑은 고딕" w:eastAsia="맑은 고딕"/>
      <w:i/>
      <w:iCs/>
      <w:color w:val="000000" w:themeColor="text1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맑은 고딕" w:hAnsi="맑은 고딕" w:eastAsia="맑은 고딕"/>
      <w:i/>
      <w:iCs/>
      <w:color w:val="000000" w:themeColor="text1"/>
      <w:sz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맑은 고딕" w:hAnsi="맑은 고딕" w:eastAsia="맑은 고딕"/>
      <w:b/>
      <w:bCs/>
      <w:i/>
      <w:iCs/>
      <w:color w:val="4F81BD" w:themeColor="accent1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맑은 고딕" w:hAnsi="맑은 고딕" w:eastAsia="맑은 고딕"/>
      <w:color w:val="243F60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맑은 고딕" w:hAnsi="맑은 고딕" w:eastAsia="맑은 고딕"/>
      <w:i/>
      <w:iCs/>
      <w:color w:val="243F60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맑은 고딕" w:hAnsi="맑은 고딕" w:eastAsia="맑은 고딕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맑은 고딕" w:hAnsi="맑은 고딕" w:eastAsia="맑은 고딕"/>
      <w:b/>
      <w:bCs/>
      <w:color w:val="4F81BD" w:themeColor="accent1"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맑은 고딕" w:hAnsi="맑은 고딕" w:eastAsia="맑은 고딕"/>
      <w:b/>
      <w:bCs/>
      <w:sz w:val="20"/>
    </w:rPr>
  </w:style>
  <w:style w:type="character" w:styleId="Emphasis">
    <w:name w:val="Emphasis"/>
    <w:basedOn w:val="DefaultParagraphFont"/>
    <w:uiPriority w:val="20"/>
    <w:qFormat/>
    <w:rsid w:val="00FC693F"/>
    <w:rPr>
      <w:rFonts w:ascii="맑은 고딕" w:hAnsi="맑은 고딕" w:eastAsia="맑은 고딕"/>
      <w:i/>
      <w:iCs/>
      <w:sz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맑은 고딕" w:hAnsi="맑은 고딕" w:eastAsia="맑은 고딕"/>
      <w:b/>
      <w:bCs/>
      <w:i/>
      <w:iCs/>
      <w:color w:val="4F81BD" w:themeColor="accent1"/>
      <w:sz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맑은 고딕" w:hAnsi="맑은 고딕" w:eastAsia="맑은 고딕"/>
      <w:b/>
      <w:bCs/>
      <w:i/>
      <w:iCs/>
      <w:color w:val="4F81BD" w:themeColor="accent1"/>
      <w:sz w:val="2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맑은 고딕" w:hAnsi="맑은 고딕" w:eastAsia="맑은 고딕"/>
      <w:i/>
      <w:iCs/>
      <w:color w:val="808080" w:themeColor="text1" w:themeTint="7F"/>
      <w:sz w:val="2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맑은 고딕" w:hAnsi="맑은 고딕" w:eastAsia="맑은 고딕"/>
      <w:b/>
      <w:bCs/>
      <w:i/>
      <w:iCs/>
      <w:color w:val="4F81BD" w:themeColor="accent1"/>
      <w:sz w:val="2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맑은 고딕" w:hAnsi="맑은 고딕" w:eastAsia="맑은 고딕"/>
      <w:smallCaps/>
      <w:color w:val="C0504D" w:themeColor="accent2"/>
      <w:sz w:val="2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맑은 고딕" w:hAnsi="맑은 고딕" w:eastAsia="맑은 고딕"/>
      <w:b/>
      <w:bCs/>
      <w:smallCaps/>
      <w:color w:val="C0504D" w:themeColor="accent2"/>
      <w:spacing w:val="5"/>
      <w:sz w:val="20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맑은 고딕" w:hAnsi="맑은 고딕" w:eastAsia="맑은 고딕"/>
      <w:b/>
      <w:bCs/>
      <w:smallCaps/>
      <w:spacing w:val="5"/>
      <w:sz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맑은 고딕" w:hAnsi="맑은 고딕" w:eastAsia="맑은 고딕"/>
      <w:sz w:val="2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맑은 고딕" w:hAnsi="맑은 고딕" w:eastAsia="맑은 고딕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맑은 고딕" w:hAnsi="맑은 고딕" w:eastAsia="맑은 고딕"/>
      <w:color w:val="000000" w:themeColor="text1" w:themeShade="BF"/>
      <w:sz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맑은 고딕" w:hAnsi="맑은 고딕" w:eastAsia="맑은 고딕"/>
      <w:color w:val="365F91" w:themeColor="accent1" w:themeShade="BF"/>
      <w:sz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맑은 고딕" w:hAnsi="맑은 고딕" w:eastAsia="맑은 고딕"/>
      <w:color w:val="943634" w:themeColor="accent2" w:themeShade="BF"/>
      <w:sz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맑은 고딕" w:hAnsi="맑은 고딕" w:eastAsia="맑은 고딕"/>
      <w:color w:val="76923C" w:themeColor="accent3" w:themeShade="BF"/>
      <w:sz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맑은 고딕" w:hAnsi="맑은 고딕" w:eastAsia="맑은 고딕"/>
      <w:color w:val="5F497A" w:themeColor="accent4" w:themeShade="BF"/>
      <w:sz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맑은 고딕" w:hAnsi="맑은 고딕" w:eastAsia="맑은 고딕"/>
      <w:color w:val="31849B" w:themeColor="accent5" w:themeShade="BF"/>
      <w:sz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맑은 고딕" w:hAnsi="맑은 고딕" w:eastAsia="맑은 고딕"/>
      <w:color w:val="E36C0A" w:themeColor="accent6" w:themeShade="BF"/>
      <w:sz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맑은 고딕" w:hAnsi="맑은 고딕" w:eastAsia="맑은 고딕"/>
      <w:color w:val="FFFFFF" w:themeColor="background1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맑은 고딕" w:hAnsi="맑은 고딕" w:eastAsia="맑은 고딕"/>
      <w:color w:val="FFFFFF" w:themeColor="background1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맑은 고딕" w:hAnsi="맑은 고딕" w:eastAsia="맑은 고딕"/>
      <w:color w:val="FFFFFF" w:themeColor="background1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맑은 고딕" w:hAnsi="맑은 고딕" w:eastAsia="맑은 고딕"/>
      <w:color w:val="FFFFFF" w:themeColor="background1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맑은 고딕" w:hAnsi="맑은 고딕" w:eastAsia="맑은 고딕"/>
      <w:color w:val="FFFFFF" w:themeColor="background1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맑은 고딕" w:hAnsi="맑은 고딕" w:eastAsia="맑은 고딕"/>
      <w:color w:val="FFFFFF" w:themeColor="background1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맑은 고딕" w:hAnsi="맑은 고딕" w:eastAsia="맑은 고딕"/>
      <w:color w:val="FFFFFF" w:themeColor="background1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