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전사 지표 기준 확인 메모</w:t>
      </w:r>
    </w:p>
    <w:p>
      <w:r>
        <w:t>한결물류(가명) · 기획팀 김OO 대리 · 평택센터·안성센터(가상)</w:t>
      </w:r>
    </w:p>
    <w:p>
      <w:pPr>
        <w:pStyle w:val="Heading2"/>
      </w:pPr>
      <w:r>
        <w:t>1. 집계 범위와 마감</w:t>
      </w:r>
    </w:p>
    <w:p>
      <w:r>
        <w:t>2026년 11월 2일 확인. 10월 보고는 2026년 10월 31일까지의 월 확정 실적만 포함한다. 두 센터 실적은 서로 겹치지 않는다. 회사 전체 값은 두 센터를 합쳐 만든다. 8월과 9월도 같은 기준이다.</w:t>
      </w:r>
    </w:p>
    <w:p>
      <w:pPr>
        <w:pStyle w:val="Heading2"/>
      </w:pPr>
      <w:r>
        <w:t>2. 원본 정리 승인</w:t>
      </w:r>
    </w:p>
    <w:p>
      <w:r>
        <w:t>매출-08-1-01은 같은 값이 두 번 들어왔다. 원본 73행은 그대로 두고 작업본에서 뒤에 나온 완전 중복 1행만 제외한다. 월 표기와 센터 공백을 통일하고, 원 단위 값은 10,000으로 나눠 만원으로 맞춘다. 같은 자료번호인데 금액이 다르면 임의로 하나를 버리지 말고 확인 필요로 남긴다.</w:t>
      </w:r>
    </w:p>
    <w:p>
      <w:pPr>
        <w:pStyle w:val="Heading2"/>
      </w:pPr>
      <w:r>
        <w:t>3. 빈칸 보완 근거</w:t>
      </w:r>
    </w:p>
    <w:p>
      <w:r>
        <w:t>고객지원팀 확인: 10월 안성센터 전체 문의 150건 중 첫 문의 해결은 135건이다. 원본 빈칸을 0으로 바꾸지 않는다. 정리본에 135를 적고 이 메모 3항을 근거로 남긴다. 평택 전체 문의 50건·첫 문의 해결 45건과 합쳐 전체 문의 200건·첫 문의 해결 180건이다.</w:t>
      </w:r>
    </w:p>
    <w:p>
      <w:pPr>
        <w:pStyle w:val="Heading2"/>
      </w:pPr>
      <w:r>
        <w:t>4. 지표 뜻</w:t>
      </w:r>
    </w:p>
    <w:p>
      <w:r>
        <w:t>매출은 두 센터 확정 매출 합계. 영업이익률은 매출에서 영업비용을 뺀 뒤 매출로 나눈다. 정시 배송률은 약속한 날까지 도착한 배송 건수를 전체 배송 건수로 나눈다. 천 건당 불만은 불만 발생 배송 건수를 전체 배송 건수로 나누고 1,000을 곱한다. 첫 문의 해결률은 첫 문의로 종결된 건수를 전체 문의 건수로 나눈다. 센터별 비율을 단순 평균하지 않는다.</w:t>
      </w:r>
    </w:p>
    <w:p>
      <w:pPr>
        <w:pStyle w:val="Heading2"/>
      </w:pPr>
      <w:r>
        <w:t>5. 목표와 판정</w:t>
      </w:r>
    </w:p>
    <w:p>
      <w:r>
        <w:t>8~10월 월별 목표는 매출 78,000만원 이상, 영업이익률 10% 이상, 정시 배송률 97% 이상, 천 건당 불만 15건 이하, 첫 문의 해결률 90% 이상이다. 목표와 같으면 달성이다. 목표는 교육용 예시이며 실제 회사 권고치가 아니다. 비율 차이는 %p로, 불만 차이는 천 건당 건수로 적는다.</w:t>
      </w:r>
    </w:p>
    <w:p>
      <w:pPr>
        <w:pStyle w:val="Heading2"/>
      </w:pPr>
      <w:r>
        <w:t>6. 빈칸·없음·분모 0</w:t>
      </w:r>
    </w:p>
    <w:p>
      <w:r>
        <w:t>0은 실제 0일 때만 쓴다. 자료가 없으면 확인 필요, 분모가 0이면 계산 제외로 표시한다. 미확인 원인은 만들어 내지 않는다. 원본 출처, 보완 근거, 마감일을 결과물에 적는다.</w:t>
      </w:r>
    </w:p>
    <w:p>
      <w:pPr>
        <w:pStyle w:val="Heading2"/>
      </w:pPr>
      <w:r>
        <w:t>7. 저장과 쓰임</w:t>
      </w:r>
    </w:p>
    <w:p>
      <w:r>
        <w:t>정의서는 워드, 대시보드는 계산이 연결된 엑셀, 회의용 화면은 A4 가로 PDF 한 장으로 만든다. 결과 예시는 강의 전 준비한 비교용이며 Claude 실제 응답을 복제한 자료가 아니다. 사내 실적을 외부 서비스에 올리기 전 회사 기준을 확인한다.</w:t>
      </w:r>
    </w:p>
    <w:sectPr w:rsidR="00FC693F" w:rsidRPr="0006063C" w:rsidSect="00034616">
      <w:footerReference w:type="default" r:id="rId9"/>
      <w:pgSz w:w="12240" w:h="15840"/>
      <w:pgMar w:top="964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맑은 고딕" w:hAnsi="맑은 고딕" w:eastAsia="맑은 고딕"/>
      <w:sz w:val="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맑은 고딕" w:hAnsi="맑은 고딕" w:eastAsia="맑은 고딕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맑은 고딕" w:hAnsi="맑은 고딕" w:eastAsia="맑은 고딕"/>
      <w:sz w:val="20"/>
    </w:rPr>
  </w:style>
  <w:style w:type="table" w:default="1" w:styleId="TableNormal">
    <w:name w:val="Normal Table"/>
    <w:uiPriority w:val="99"/>
    <w:semiHidden/>
    <w:unhideWhenUsed/>
    <w:rPr>
      <w:rFonts w:ascii="맑은 고딕" w:hAnsi="맑은 고딕" w:eastAsia="맑은 고딕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맑은 고딕" w:hAnsi="맑은 고딕" w:eastAsia="맑은 고딕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맑은 고딕" w:hAnsi="맑은 고딕" w:eastAsia="맑은 고딕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맑은 고딕" w:hAnsi="맑은 고딕" w:eastAsia="맑은 고딕"/>
      <w:sz w:val="20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맑은 고딕" w:hAnsi="맑은 고딕" w:eastAsia="맑은 고딕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맑은 고딕" w:hAnsi="맑은 고딕" w:eastAsia="맑은 고딕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FC693F"/>
    <w:rPr>
      <w:rFonts w:ascii="맑은 고딕" w:hAnsi="맑은 고딕" w:eastAsia="맑은 고딕"/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맑은 고딕" w:hAnsi="맑은 고딕" w:eastAsia="맑은 고딕"/>
      <w:i/>
      <w:iCs/>
      <w:color w:val="808080" w:themeColor="text1" w:themeTint="7F"/>
      <w:sz w:val="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맑은 고딕" w:hAnsi="맑은 고딕" w:eastAsia="맑은 고딕"/>
      <w:smallCaps/>
      <w:color w:val="C0504D" w:themeColor="accent2"/>
      <w:sz w:val="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맑은 고딕" w:hAnsi="맑은 고딕" w:eastAsia="맑은 고딕"/>
      <w:b/>
      <w:bCs/>
      <w:smallCaps/>
      <w:color w:val="C0504D" w:themeColor="accent2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맑은 고딕" w:hAnsi="맑은 고딕" w:eastAsia="맑은 고딕"/>
      <w:b/>
      <w:bCs/>
      <w:smallCaps/>
      <w:spacing w:val="5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000000" w:themeColor="text1" w:themeShade="BF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365F91" w:themeColor="accent1" w:themeShade="BF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943634" w:themeColor="accent2" w:themeShade="BF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76923C" w:themeColor="accent3" w:themeShade="BF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5F497A" w:themeColor="accent4" w:themeShade="BF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31849B" w:themeColor="accent5" w:themeShade="BF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맑은 고딕" w:hAnsi="맑은 고딕" w:eastAsia="맑은 고딕"/>
      <w:color w:val="E36C0A" w:themeColor="accent6" w:themeShade="BF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맑은 고딕" w:hAnsi="맑은 고딕" w:eastAsia="맑은 고딕"/>
      <w:sz w:val="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맑은 고딕" w:hAnsi="맑은 고딕" w:eastAsia="맑은 고딕"/>
      <w:color w:val="FFFFFF" w:themeColor="background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맑은 고딕" w:hAnsi="맑은 고딕" w:eastAsia="맑은 고딕"/>
      <w:color w:val="000000" w:themeColor="text1"/>
      <w:sz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