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집계 기준과 요청</w:t>
      </w:r>
    </w:p>
    <w:p>
      <w:r>
        <w:t>한결물류(가명) · 한결 당일출고 · 2026년 9~11월 사전 상담 모집</w:t>
      </w:r>
    </w:p>
    <w:p>
      <w:pPr>
        <w:pStyle w:val="Heading1"/>
      </w:pPr>
      <w:r>
        <w:t>1. 할 일과 회사 설정</w:t>
      </w:r>
    </w:p>
    <w:p>
      <w:r>
        <w:t>12월 예산 800만 원을 어디에 쓸지 정한다. 9~11월은 12월 1일 정식 시작 전 사전 상담 모집이다. 한결 당일출고: 이천·평택 센터, 월 주문 300~3,000건 쇼핑몰·작은 브랜드 대상, 오후 3시 전 주문 당일 출고, 기본료 월 15만 원 + 건별 요금. 박OO 대표(가명). 사전 계약은 실제 서비스 매출과 다르다.</w:t>
      </w:r>
    </w:p>
    <w:p>
      <w:pPr>
        <w:pStyle w:val="Heading1"/>
      </w:pPr>
      <w:r>
        <w:t>자료 단위</w:t>
      </w:r>
    </w:p>
    <w:p>
      <w:r>
        <w:t>기록번호는 날짜·채널별로 고유하다. 같은 번호에 모든 내용이 같으면 완전 중복 1개를 제외한다. 같은 날짜의 다른 채널은 유지한다. 같은 번호의 내용이 다르면 확인한다. 날짜는 실제 날짜, 광고비는 원·부가세 제외로 통일한다. 원본 덮어쓰기·삭제 금지.</w:t>
      </w:r>
    </w:p>
    <w:p>
      <w:pPr>
        <w:pStyle w:val="Heading1"/>
      </w:pPr>
      <w:r>
        <w:t>금액을 다룰 때</w:t>
      </w:r>
    </w:p>
    <w:p>
      <w:r>
        <w:t>광고비에는 대행 수수료·제작비가 포함되지 않았다. 비용에 포함된 범위를 바꾸지 않는다. 고객별 매출·이익이 없으므로 광고 수익률이나 회사 이익은 계산하지 않는다.</w:t>
      </w:r>
    </w:p>
    <w:p>
      <w:r>
        <w:br w:type="page"/>
      </w:r>
    </w:p>
    <w:p>
      <w:pPr>
        <w:pStyle w:val="Heading1"/>
      </w:pPr>
      <w:r>
        <w:t>2. 지표의 뜻</w:t>
      </w:r>
    </w:p>
    <w:p>
      <w:r>
        <w:t>문의는 접수 건수. 유효 상담은 업체명·필요 물량·연락 동의가 확인되고 영업 상담 대상에 맞는 문의. 사전 계약은 11월 말까지 서명 완료된 계약. 최초 문의 채널 1곳에만 연결한다. 최근 월은 계약 반영이 늦을 수 있다.</w:t>
      </w:r>
    </w:p>
    <w:p>
      <w:pPr>
        <w:pStyle w:val="Heading1"/>
      </w:pPr>
      <w:r>
        <w:t>계산 기준</w:t>
      </w:r>
    </w:p>
    <w:p>
      <w:r>
        <w:t>유효 상담당 비용: 광고비 합계 ÷ 유효 상담 합계. 문의 대비 유효 상담 비율: 유효 상담 합계 ÷ 문의 합계. 사전 계약당 비용: 광고비 합계 ÷ 사전 계약 합계. 분모 0은 계산 불가. 빈칸은 0건이 아니다. 일별 비율을 단순 평균하지 않는다.</w:t>
      </w:r>
    </w:p>
    <w:tbl>
      <w:tblPr>
        <w:tblStyle w:val="TableGrid"/>
        <w:tblW w:type="auto" w:w="0"/>
        <w:tblLook w:firstColumn="1" w:firstRow="1" w:lastColumn="0" w:lastRow="0" w:noHBand="0" w:noVBand="1" w:val="04A0"/>
      </w:tblPr>
      <w:tblGrid>
        <w:gridCol w:w="4320"/>
        <w:gridCol w:w="4320"/>
      </w:tblGrid>
      <w:tr>
        <w:tc>
          <w:tcPr>
            <w:tcW w:type="dxa" w:w="4320"/>
          </w:tcPr>
          <w:p>
            <w:r>
              <w:t>하나로 쓸 이름</w:t>
            </w:r>
          </w:p>
        </w:tc>
        <w:tc>
          <w:tcPr>
            <w:tcW w:type="dxa" w:w="4320"/>
          </w:tcPr>
          <w:p>
            <w:r>
              <w:t>섞인 이름</w:t>
            </w:r>
          </w:p>
        </w:tc>
      </w:tr>
      <w:tr>
        <w:tc>
          <w:tcPr>
            <w:tcW w:type="dxa" w:w="4320"/>
          </w:tcPr>
          <w:p>
            <w:r>
              <w:t>네이버 검색</w:t>
            </w:r>
          </w:p>
        </w:tc>
        <w:tc>
          <w:tcPr>
            <w:tcW w:type="dxa" w:w="4320"/>
          </w:tcPr>
          <w:p>
            <w:r>
              <w:t>네이버 검색 / 검색광고 / 네이버검색</w:t>
            </w:r>
          </w:p>
        </w:tc>
      </w:tr>
      <w:tr>
        <w:tc>
          <w:tcPr>
            <w:tcW w:type="dxa" w:w="4320"/>
          </w:tcPr>
          <w:p>
            <w:r>
              <w:t>메타</w:t>
            </w:r>
          </w:p>
        </w:tc>
        <w:tc>
          <w:tcPr>
            <w:tcW w:type="dxa" w:w="4320"/>
          </w:tcPr>
          <w:p>
            <w:r>
              <w:t>메타 / Meta / 메타광고</w:t>
            </w:r>
          </w:p>
        </w:tc>
      </w:tr>
      <w:tr>
        <w:tc>
          <w:tcPr>
            <w:tcW w:type="dxa" w:w="4320"/>
          </w:tcPr>
          <w:p>
            <w:r>
              <w:t>네이버 콘텐츠</w:t>
            </w:r>
          </w:p>
        </w:tc>
        <w:tc>
          <w:tcPr>
            <w:tcW w:type="dxa" w:w="4320"/>
          </w:tcPr>
          <w:p>
            <w:r>
              <w:t>네이버 콘텐츠 / 콘텐츠광고 / 네이버콘텐츠</w:t>
            </w:r>
          </w:p>
        </w:tc>
      </w:tr>
      <w:tr>
        <w:tc>
          <w:tcPr>
            <w:tcW w:type="dxa" w:w="4320"/>
          </w:tcPr>
          <w:p>
            <w:r>
              <w:t>배너</w:t>
            </w:r>
          </w:p>
        </w:tc>
        <w:tc>
          <w:tcPr>
            <w:tcW w:type="dxa" w:w="4320"/>
          </w:tcPr>
          <w:p>
            <w:r>
              <w:t>배너 / 디스플레이 / 배너광고</w:t>
            </w:r>
          </w:p>
        </w:tc>
      </w:tr>
    </w:tbl>
    <w:p>
      <w:pPr>
        <w:pStyle w:val="Heading1"/>
      </w:pPr>
      <w:r>
        <w:t>빈칸 근거</w:t>
      </w:r>
    </w:p>
    <w:p>
      <w:r>
        <w:t>0908-1은 사전상담-1이므로 네이버 검색이다. 비용·유효 상담 빈칸은 정산 PDF의 기록번호로 확인한다. 근거 없는 빈칸은 보류 목록에 남긴다.</w:t>
      </w:r>
    </w:p>
    <w:p>
      <w:r>
        <w:br w:type="page"/>
      </w:r>
    </w:p>
    <w:p>
      <w:pPr>
        <w:pStyle w:val="Heading1"/>
      </w:pPr>
      <w:r>
        <w:t>3. 산출물 요구</w:t>
      </w:r>
    </w:p>
    <w:p>
      <w:r>
        <w:t>월 선택: 전체·9월·10월·11월. 채널 비교·광고비·유효 상담·사전 계약을 한눈에. 계산 결과를 누르면 계산식이 보이게 한다. 정리기록: 기록번호·바꾸기 전·바꾼 후·근거·처리. 결과는 새 엑셀로 저장한다.</w:t>
      </w:r>
    </w:p>
    <w:p>
      <w:pPr>
        <w:pStyle w:val="Heading1"/>
      </w:pPr>
      <w:r>
        <w:t>예산과 운영 조건</w:t>
      </w:r>
    </w:p>
    <w:p>
      <w:r>
        <w:t>총 800만 원 유지. 검색 최대 360만 원, 콘텐츠 최대 180만 원, 메타 200만 원 유지, 배너 최소 60만 원. 담당자 검토·대표 승인 후 적용한다. 늘린 채널은 2주 뒤 점검한다. 배너 추적 누락·계약 지연을 먼저 확인한다.</w:t>
      </w:r>
    </w:p>
    <w:p>
      <w:pPr>
        <w:pStyle w:val="Heading1"/>
      </w:pPr>
      <w:r>
        <w:t>효과의 뜻</w:t>
      </w:r>
    </w:p>
    <w:p>
      <w:r>
        <w:t>배너에서 옮기는 돈은 절감 실적이 아니다. 예상 상담은 3개월 평균 단가 유지 가정이다. 실제 성과·계약·수익 보장으로 쓰지 않는다. 12월 정식 출시 영향으로 단가가 달라질 수 있다. 다음 달에도 쓸 작업 순서를 남긴다.</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교육 영상 시연용 가상 자료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