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12월 캠페인 개선안 · 검토용 예시</w:t>
      </w:r>
    </w:p>
    <w:p>
      <w:r>
        <w:t>한결물류(가명) · 한결 당일출고 · 2026년 9~11월 사전 상담 모집</w:t>
      </w:r>
    </w:p>
    <w:p>
      <w:pPr>
        <w:pStyle w:val="Heading1"/>
      </w:pPr>
      <w:r>
        <w:t>결정 요청</w:t>
      </w:r>
    </w:p>
    <w:p>
      <w:r>
        <w:t>총 800만 원 유지. 배너 예산 120만 원을 옮길 후보로 제안한다. 검색에 40만 원, 콘텐츠에 80만 원을 더하고 메타는 유지한다. 실제 적용은 담당자 검토·박OO 대표(가명) 승인 후 한다.</w:t>
      </w:r>
    </w:p>
    <w:p>
      <w:pPr>
        <w:pStyle w:val="Heading1"/>
      </w:pPr>
      <w:r>
        <w:t>근거</w:t>
      </w:r>
    </w:p>
    <w:p>
      <w:r>
        <w:t>정상 364개 기록, 광고비 2,400만 원, 유효 상담 195건, 사전 계약 33건. 배너 광고비 600만 원·클릭 12,000건·유효 상담 12건·사전 계약 0건. 사전 계약은 매출이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채널</w:t>
            </w:r>
          </w:p>
        </w:tc>
        <w:tc>
          <w:tcPr>
            <w:tcW w:type="dxa" w:w="2160"/>
          </w:tcPr>
          <w:p>
            <w:r>
              <w:t>11월</w:t>
            </w:r>
          </w:p>
        </w:tc>
        <w:tc>
          <w:tcPr>
            <w:tcW w:type="dxa" w:w="2160"/>
          </w:tcPr>
          <w:p>
            <w:r>
              <w:t>12월 제안</w:t>
            </w:r>
          </w:p>
        </w:tc>
        <w:tc>
          <w:tcPr>
            <w:tcW w:type="dxa" w:w="2160"/>
          </w:tcPr>
          <w:p>
            <w:r>
              <w:t>증감</w:t>
            </w:r>
          </w:p>
        </w:tc>
      </w:tr>
      <w:tr>
        <w:tc>
          <w:tcPr>
            <w:tcW w:type="dxa" w:w="2160"/>
          </w:tcPr>
          <w:p>
            <w:r>
              <w:t>네이버 검색</w:t>
            </w:r>
          </w:p>
        </w:tc>
        <w:tc>
          <w:tcPr>
            <w:tcW w:type="dxa" w:w="2160"/>
          </w:tcPr>
          <w:p>
            <w:r>
              <w:t>3,200,000원</w:t>
            </w:r>
          </w:p>
        </w:tc>
        <w:tc>
          <w:tcPr>
            <w:tcW w:type="dxa" w:w="2160"/>
          </w:tcPr>
          <w:p>
            <w:r>
              <w:t>3,600,000원</w:t>
            </w:r>
          </w:p>
        </w:tc>
        <w:tc>
          <w:tcPr>
            <w:tcW w:type="dxa" w:w="2160"/>
          </w:tcPr>
          <w:p>
            <w:r>
              <w:t>+400,000원</w:t>
            </w:r>
          </w:p>
        </w:tc>
      </w:tr>
      <w:tr>
        <w:tc>
          <w:tcPr>
            <w:tcW w:type="dxa" w:w="2160"/>
          </w:tcPr>
          <w:p>
            <w:r>
              <w:t>메타</w:t>
            </w:r>
          </w:p>
        </w:tc>
        <w:tc>
          <w:tcPr>
            <w:tcW w:type="dxa" w:w="2160"/>
          </w:tcPr>
          <w:p>
            <w:r>
              <w:t>2,000,000원</w:t>
            </w:r>
          </w:p>
        </w:tc>
        <w:tc>
          <w:tcPr>
            <w:tcW w:type="dxa" w:w="2160"/>
          </w:tcPr>
          <w:p>
            <w:r>
              <w:t>2,000,000원</w:t>
            </w:r>
          </w:p>
        </w:tc>
        <w:tc>
          <w:tcPr>
            <w:tcW w:type="dxa" w:w="2160"/>
          </w:tcPr>
          <w:p>
            <w:r>
              <w:t>+0원</w:t>
            </w:r>
          </w:p>
        </w:tc>
      </w:tr>
      <w:tr>
        <w:tc>
          <w:tcPr>
            <w:tcW w:type="dxa" w:w="2160"/>
          </w:tcPr>
          <w:p>
            <w:r>
              <w:t>네이버 콘텐츠</w:t>
            </w:r>
          </w:p>
        </w:tc>
        <w:tc>
          <w:tcPr>
            <w:tcW w:type="dxa" w:w="2160"/>
          </w:tcPr>
          <w:p>
            <w:r>
              <w:t>1,000,000원</w:t>
            </w:r>
          </w:p>
        </w:tc>
        <w:tc>
          <w:tcPr>
            <w:tcW w:type="dxa" w:w="2160"/>
          </w:tcPr>
          <w:p>
            <w:r>
              <w:t>1,800,000원</w:t>
            </w:r>
          </w:p>
        </w:tc>
        <w:tc>
          <w:tcPr>
            <w:tcW w:type="dxa" w:w="2160"/>
          </w:tcPr>
          <w:p>
            <w:r>
              <w:t>+800,000원</w:t>
            </w:r>
          </w:p>
        </w:tc>
      </w:tr>
      <w:tr>
        <w:tc>
          <w:tcPr>
            <w:tcW w:type="dxa" w:w="2160"/>
          </w:tcPr>
          <w:p>
            <w:r>
              <w:t>배너</w:t>
            </w:r>
          </w:p>
        </w:tc>
        <w:tc>
          <w:tcPr>
            <w:tcW w:type="dxa" w:w="2160"/>
          </w:tcPr>
          <w:p>
            <w:r>
              <w:t>1,800,000원</w:t>
            </w:r>
          </w:p>
        </w:tc>
        <w:tc>
          <w:tcPr>
            <w:tcW w:type="dxa" w:w="2160"/>
          </w:tcPr>
          <w:p>
            <w:r>
              <w:t>600,000원</w:t>
            </w:r>
          </w:p>
        </w:tc>
        <w:tc>
          <w:tcPr>
            <w:tcW w:type="dxa" w:w="2160"/>
          </w:tcPr>
          <w:p>
            <w:r>
              <w:t>-1,200,000원</w:t>
            </w:r>
          </w:p>
        </w:tc>
      </w:tr>
    </w:tbl>
    <w:p>
      <w:r>
        <w:br w:type="page"/>
      </w:r>
    </w:p>
    <w:p>
      <w:pPr>
        <w:pStyle w:val="Heading1"/>
      </w:pPr>
      <w:r>
        <w:t>예상과 한계</w:t>
      </w:r>
    </w:p>
    <w:p>
      <w:r>
        <w:t>3개월 평균 단가 유지 가정: 예상 유효 상담 80.2건. 3개월 월평균 65건 대비 +15.2건, 약 23.4% 증가 예시다. 11월 72건 대비 +8.2건이다. 단가가 20% 오르면 약 66.8건. 실제 성과·계약·매출은 보장하지 않는다. 120만 원은 예산 이동 후보이며 절감 실적이 아니다. 12월 출시 이후 단가 변화 가능성이 있다.</w:t>
      </w:r>
    </w:p>
    <w:p>
      <w:pPr>
        <w:pStyle w:val="Heading1"/>
      </w:pPr>
      <w:r>
        <w:t>적용 전 확인</w:t>
      </w:r>
    </w:p>
    <w:p>
      <w:r>
        <w:t>배너 추적 누락·계약 반영 지연·채널 중복 여부를 영업 담당과 확인한다. 월별 비용은 각 800만 원, 유효 상담 58·65·72건, 사전 계약 9·11·13건이다. 최근 달만으로 성패를 단정하지 않는다.</w:t>
      </w:r>
    </w:p>
    <w:p>
      <w:pPr>
        <w:pStyle w:val="Heading1"/>
      </w:pPr>
      <w:r>
        <w:t>담당과 중단 기준</w:t>
      </w:r>
    </w:p>
    <w:p>
      <w:r>
        <w:t>마케팅 담당은 지출·채널 연결, 영업 담당은 유효 상담·사전 계약을 확인한다. 대표 승인 후 적용한다. 2주 총지출 400만 원 초과 또는 유효 상담당 15만 원 초과 시 증액 중단·재협의. 유효 상담 0건은 단가 계산 보류·추적 점검.</w:t>
      </w:r>
    </w:p>
    <w:p>
      <w:pPr>
        <w:pStyle w:val="Heading1"/>
      </w:pPr>
      <w:r>
        <w:t>정리 이력</w:t>
      </w:r>
    </w:p>
    <w:p>
      <w:r>
        <w:t>완전 중복 3개 제외. 비용·유효 상담 빈칸 각 1개는 정산 확인 PDF, 빈 채널 1개는 집계 기준 문서로 확인. 원자료는 유지하고 정리기록에 남긴다.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