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랜딩 페이지 내부 검토 보고 · 완성 참고본</w:t>
      </w:r>
    </w:p>
    <w:p>
      <w:r>
        <w:t>산출물: 한 페이지 웹 시안, 정리·검산 엑셀, 페이지 설계, 운영 순서. 실제 접수와 외부 공개는 하지 않음.</w:t>
      </w:r>
    </w:p>
    <w:p>
      <w:r>
        <w:t>검산: 312행에서 동일 내용 중복 12행 제외 → 300건. 비용 120건(40%), 마감시간 90건(30%), 재고확인 60건(20%), 반품 30건(10%).</w:t>
      </w:r>
    </w:p>
    <w:p>
      <w:r>
        <w:t>유입 빈칸 6건, 월주문 빈칸 9건은 보류. 상담예약 60건(20%)은 문의 기록상의 예약 비율이며 매출이나 페이지 개선 효과가 아님.</w:t>
      </w:r>
    </w:p>
    <w:p>
      <w:r>
        <w:t>페이지: 오후 3시 전 주문 당일 출고, 시작일 2026년 12월 1일, 기본료 월 15만 원과 출고요금 별도. 상세 적용 조건은 상담 확인.</w:t>
      </w:r>
    </w:p>
    <w:p>
      <w:r>
        <w:t>비용 예시: 같은 시안 범위 외부안 180만 원. 직접안 8시간 × 3만 원 + 도구 배분 3만 원 = 자원 환산 27만 원. 차이 153만 원. 실제 견적·시간으로 다시 비교해야 하며 현금 절감 확정 아님.</w:t>
      </w:r>
    </w:p>
    <w:p>
      <w:r>
        <w:t>검토: 디자인·접근성·모바일 배치 확인 후 서비스 책임자의 조건 승인 필요. 문의 주소와 실제 접수 연결은 미완료.</w:t>
      </w:r>
    </w:p>
    <w:p>
      <w:r>
        <w:t>운영: 원본 유지, 결과를 날짜별 새 폴더에 저장. 수정 뒤 숫자·링크·휴대폰 검사를 반복. 공개는 마케팅 승인 후 별도 진행.</w:t>
      </w:r>
    </w:p>
    <w:sectPr w:rsidR="00FC693F" w:rsidRPr="0006063C" w:rsidSect="00034616"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