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갈등 상황 메모</w:t>
      </w:r>
    </w:p>
    <w:p>
      <w:r>
        <w:t>교육 영상 시연용 가상 자료</w:t>
      </w:r>
    </w:p>
    <w:p>
      <w:pPr>
        <w:pStyle w:val="Heading2"/>
      </w:pPr>
      <w:r>
        <w:t>회사와 등장인물</w:t>
      </w:r>
    </w:p>
    <w:p>
      <w:r>
        <w:t>우리 회사는 한결물류(가명)다. 이천센터 박OO 주임은 현장 출고 확인을, 최OO 대리는 운송비 정산을 맡는다. 최 대리는 이 실습에서 출고 변경 내역 취합도 겸한다. 두 사람과 팀장은 모두 가상 인물이다. 기존 피드백 사례와 별개의 출고 변경 인계 상황이다.</w:t>
      </w:r>
    </w:p>
    <w:p>
      <w:pPr>
        <w:pStyle w:val="Heading2"/>
      </w:pPr>
      <w:r>
        <w:t>확인된 기록</w:t>
      </w:r>
    </w:p>
    <w:p>
      <w:r>
        <w:t>2026-10-26~10-31 출고 확인 원기록은 7행이다. C02가 완전히 같은 내용으로 두 번 들어 있다. 고유 건은 6건, 지연 건은 4건이며 지연 시간은 20분, 30분, 25분, 25분으로 총 100분이다. 각 건에 관련자 2명이 같은 시간 동안 함께 대기한 교육용 가정이므로 누적 대기는 200분이다. 원기록은 수정하지 않는다.</w:t>
      </w:r>
    </w:p>
    <w:p>
      <w:pPr>
        <w:pStyle w:val="Heading2"/>
      </w:pPr>
      <w:r>
        <w:t>박 주임이 따로 한 말 · 미확인</w:t>
      </w:r>
    </w:p>
    <w:p>
      <w:r>
        <w:t>“변경 내용을 늦게 받으면 현장에서는 뭘 기준으로 움직여야 할지 모르겠어요.”는 박 주임이 팀장에게 개별로 한 말이다. 최 대리의 고의나 태도를 입증하는 사실이 아니다. 상대에게 그대로 옮겨 말하지 않는다.</w:t>
      </w:r>
    </w:p>
    <w:p>
      <w:pPr>
        <w:pStyle w:val="Heading2"/>
      </w:pPr>
      <w:r>
        <w:t>최 대리가 따로 한 말 · 미확인</w:t>
      </w:r>
    </w:p>
    <w:p>
      <w:r>
        <w:t>“현장에서 확인했다는 표시가 없으니 최종본인지 계속 물어보게 돼요.”는 최 대리가 팀장에게 개별로 한 말이다. 박 주임의 업무 태도를 입증하는 사실이 아니다. 상대에게 그대로 옮겨 말하지 않는다.</w:t>
      </w:r>
    </w:p>
    <w:p>
      <w:pPr>
        <w:pStyle w:val="Heading2"/>
      </w:pPr>
      <w:r>
        <w:t>빠진 사실</w:t>
      </w:r>
    </w:p>
    <w:p>
      <w:r>
        <w:t>C04는 당시 확인 담당자 칸이 비어 있다. 원기록에 고객 손해액, 초과근무비, 사과 여부, 퇴사 의사, 갈등이 지연의 유일한 원인이라는 근거는 없다. 빈칸을 추측으로 채우지 않는다. 개별 의견을 공동 대화에서 어떻게 요약할지는 각자에게 확인한다.</w:t>
      </w:r>
    </w:p>
    <w:p>
      <w:pPr>
        <w:pStyle w:val="Heading2"/>
      </w:pPr>
      <w:r>
        <w:t>대화의 목적과 범위</w:t>
      </w:r>
    </w:p>
    <w:p>
      <w:r>
        <w:t>목적은 누구 잘못인지 판정하는 것이 아니라 변경 전달 시점과 확인 표시의 뜻을 맞추는 것이다. 먼저 각각 따로 의견을 듣고 공동 대화가 가능한지 확인한다. 공동 대화는 동의할 때만 한다. 모욕·위협·괴롭힘이 제기되면 역할극이나 화해를 강요하지 않고 사내 담당 절차로 별도 확인한다. 교육에서 법적 판단은 하지 않는다.</w:t>
      </w:r>
    </w:p>
    <w:p>
      <w:pPr>
        <w:pStyle w:val="Heading2"/>
      </w:pPr>
      <w:r>
        <w:t>공동 대화 시간안 · 미합의</w:t>
      </w:r>
    </w:p>
    <w:p>
      <w:r>
        <w:t>2026-11-04 10:00에 15분 대화를 제안한다. 목적 확인 2분, 각자 설명 합계 4분(각 2분), 서로 요약 3분, 다음 행동 초안 4분, 확인 2분이다. 참석 및 시간은 미합의다.</w:t>
      </w:r>
    </w:p>
    <w:p>
      <w:pPr>
        <w:pStyle w:val="Heading2"/>
      </w:pPr>
      <w:r>
        <w:t>잠정안 · 아직 합의 아님</w:t>
      </w:r>
    </w:p>
    <w:p>
      <w:r>
        <w:t>팀장이 당일 확인 담당자를 시작 전에 정한다. 변경 전달자는 변경한 곳과 전달 시각을 남기고, 당일 확인 담당자는 10분 안에 수신 여부를 답한다. 수신 확인은 작업 완료 승인이 아니다. 예를 들어 14:00 전달이면 14:10까지 수신 여부 답변이다. 기한 안에 확인이 안 되면 전달자가 팀장에게 연락한다. 현장 상황상 10분이 가능한지는 당사자 확인이 필요하다.</w:t>
      </w:r>
    </w:p>
    <w:p>
      <w:pPr>
        <w:pStyle w:val="Heading2"/>
      </w:pPr>
      <w:r>
        <w:t>시험 점검안 · 미합의</w:t>
      </w:r>
    </w:p>
    <w:p>
      <w:r>
        <w:t>동의하면 2026-11-05~11-11에 6건이 쌓일 때까지 임시로 적용하고 11-12에 팀장이 두 사람과 확인한다. 6건이 안 모이면 관찰을 이어 간다. 같은 기준의 고유 6건에 지연 합 40분을 목표로 두는 것은 예시다. 실제 결과가 아니다.</w:t>
      </w:r>
    </w:p>
    <w:p>
      <w:pPr>
        <w:pStyle w:val="Heading2"/>
      </w:pPr>
      <w:r>
        <w:t>추가 확인 연습</w:t>
      </w:r>
    </w:p>
    <w:p>
      <w:r>
        <w:t>전달 시각이 14:00에서 14:05로 바뀌면 10분 기준 수신 여부 답변 시각은 14:15다. 작업 완료 시각을 바꾸라는 뜻이 아니다.</w:t>
      </w:r>
    </w:p>
    <w:p>
      <w:pPr>
        <w:pStyle w:val="Heading2"/>
      </w:pPr>
      <w:r>
        <w:t>비용 비교 가정</w:t>
      </w:r>
    </w:p>
    <w:p>
      <w:r>
        <w:t>이전 고유 6건 100분, 관련자 2명 누적 200분. 비교 목표는 고유 6건 40분, 관련자 2명 누적 80분이다. 차이는 누적 120분(2시간). 시간당 30,000원이라는 교육용 가정으로 업무시간 가치 60,000원에 해당한다. 급여나 지출이 실제로 줄었다는 뜻이 아니다. 이탈·재채용 비용은 측정 자료가 없어 계산하지 않는다.</w:t>
      </w:r>
    </w:p>
    <w:sectPr w:rsidR="00FC693F" w:rsidRPr="0006063C" w:rsidSect="00034616">
      <w:footerReference w:type="default" r:id="rId9"/>
      <w:pgSz w:w="12240" w:h="15840"/>
      <w:pgMar w:top="1020" w:right="1800" w:bottom="10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교육 영상 시연용 가상 자료</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맑은 고딕" w:hAnsi="맑은 고딕" w:eastAsia="맑은 고딕"/>
      <w:b w:val="0"/>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맑은 고딕" w:hAnsi="맑은 고딕" w:eastAsia="맑은 고딕"/>
      <w:b w:val="0"/>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맑은 고딕" w:hAnsi="맑은 고딕" w:eastAsia="맑은 고딕"/>
      <w:b w:val="0"/>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