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개인정보 처리 점검 결과 — 검토용 초안</w:t>
      </w:r>
    </w:p>
    <w:p>
      <w:r>
        <w:t>한결물류(가명) · O과장(가명) · 2026-11-03</w:t>
      </w:r>
    </w:p>
    <w:p>
      <w:r>
        <w:t>① 범위: 수집 현황 24행·담당자 메모·문의 화면. 중복 보고 2행을 정리한 22업무, 저장 기록 9,000건. 전체 적법성·실제 사고 유무를 확인한 보고가 아니다.</w:t>
      </w:r>
    </w:p>
    <w:p>
      <w:r>
        <w:t>② 점검: 개선 필요 6업무, 확인 필요 4업무, 자료상 확인 12업무. 자료상 확인은 받은 확인본 범위에 한정한다. 개선·확인 10업무를 목록으로 연결했다.</w:t>
      </w:r>
    </w:p>
    <w:p>
      <w:r>
        <w:t>③ 우선 제안: P03 생년월일 필수 설정 검토·수정, P08 전 직원 열람 제한, P21 제휴사 전달 보류와 제공 근거 검토. 제안 담당은 각 부서 O과장, 기한은 2026-11-04이다. 승인 전 확정 일정이 아니다.</w:t>
      </w:r>
    </w:p>
    <w:p>
      <w:r>
        <w:t>④ 요청: 각 부서가 실제 담당·기한을 확정하고 법무팀이 처리근거·보존 예외·위탁 및 제공 구분을 확인한다. 완료는 수정 화면·권한표·검토 승인 등 증거를 받은 뒤 표시한다.</w:t>
      </w:r>
    </w:p>
    <w:p>
      <w:r>
        <w:t>⑤ 비용 예시: 확인 6시간×3만 원=18만 원, 재작업 10건×2시간×3만 원=60만 원. 차액 42만 원은 가정에 따른 내부 시간 환산이며 현금 절감·사고 예방·제재 회피를 보장하지 않는다.</w:t>
      </w:r>
    </w:p>
    <w:p>
      <w:r>
        <w:t>최종 판단은 법무팀·개인정보 보호책임자. 날짜·보관기간·순서는 교육용 가정이며 실제 적용 전에 최신 법령과 사내 기준을 확인한다.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