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대응 의견 — 내부 검토 초안</w:t>
      </w:r>
    </w:p>
    <w:p>
      <w:r>
        <w:t>대상: 우리 초안 A / 상대 수정본 B. 11개 의미별 대응: 유지 2, 변경 8, 추가 1. 변경과 추가를 합친 9개 건의 대응 초안이다. 서명·회신 승인 전이며 원문이 우선한다.</w:t>
      </w:r>
    </w:p>
    <w:p>
      <w:pPr>
        <w:pStyle w:val="Heading1"/>
        <w:keepNext/>
        <w:keepLines/>
      </w:pPr>
      <w:r>
        <w:t>C02 비밀정보 범위 — 수정 요청</w:t>
      </w:r>
    </w:p>
    <w:p>
      <w:pPr>
        <w:keepNext/>
        <w:keepLines/>
      </w:pPr>
      <w:r>
        <w:t>우리 제2조 / 상대 제2조</w:t>
      </w:r>
    </w:p>
    <w:p>
      <w:pPr>
        <w:keepNext/>
        <w:keepLines/>
      </w:pPr>
      <w:r>
        <w:t>표시 누락만으로 노선별 원가와 배차 기준이 보호에서 빠질 수 있다.</w:t>
      </w:r>
    </w:p>
    <w:p>
      <w:pPr>
        <w:keepNext/>
        <w:keepLines/>
      </w:pPr>
      <w:r>
        <w:t>제안: 해당 우리 초안 문구 유지를 요청하되, 대체 문구의 적절성은 법무팀 검토와 승인 후 확정한다.</w:t>
      </w:r>
    </w:p>
    <w:p>
      <w:pPr>
        <w:keepLines/>
      </w:pPr>
      <w:r>
        <w:t>근거: 내부 K01. 법률상 유효성에 관한 결론이 아니다.</w:t>
      </w:r>
    </w:p>
    <w:p>
      <w:pPr>
        <w:pStyle w:val="Heading1"/>
        <w:keepNext/>
        <w:keepLines/>
      </w:pPr>
      <w:r>
        <w:t>N01 경쟁 업무 제한 — 별도 법률 검토</w:t>
      </w:r>
    </w:p>
    <w:p>
      <w:pPr>
        <w:keepNext/>
        <w:keepLines/>
      </w:pPr>
      <w:r>
        <w:t>우리 대응 조항 없음 / 상대 제3조</w:t>
      </w:r>
    </w:p>
    <w:p>
      <w:pPr>
        <w:keepNext/>
        <w:keepLines/>
      </w:pPr>
      <w:r>
        <w:t>새로 들어온 영업 제한이다. 필요성, 범위, 기간과 상호 의무 여부를 별도 검토하고 서명 판단은 보류한다.</w:t>
      </w:r>
    </w:p>
    <w:p>
      <w:pPr>
        <w:keepNext/>
        <w:keepLines/>
      </w:pPr>
      <w:r>
        <w:t>제안: 신규 제한의 필요성·범위·기간·상호 의무 여부를 외부 변호사에게 묻는다. 삭제 또는 별도 합의 여부는 법무 검토와 승인 후 결정한다.</w:t>
      </w:r>
    </w:p>
    <w:p>
      <w:pPr>
        <w:keepLines/>
      </w:pPr>
      <w:r>
        <w:t>근거: 내부 K09. 법률상 유효성에 관한 결론이 아니다.</w:t>
      </w:r>
    </w:p>
    <w:p>
      <w:pPr>
        <w:pStyle w:val="Heading1"/>
        <w:keepNext/>
        <w:keepLines/>
      </w:pPr>
      <w:r>
        <w:t>C03 공유 대상 — 조건부 검토</w:t>
      </w:r>
    </w:p>
    <w:p>
      <w:pPr>
        <w:keepNext/>
        <w:keepLines/>
      </w:pPr>
      <w:r>
        <w:t>우리 제3조 / 상대 제4조</w:t>
      </w:r>
    </w:p>
    <w:p>
      <w:pPr>
        <w:keepNext/>
        <w:keepLines/>
      </w:pPr>
      <w:r>
        <w:t>협력사까지 공유하려면 대상 특정, 사전 서면 동의, 같은 비밀유지 의무와 수령자의 책임이 필요하다.</w:t>
      </w:r>
    </w:p>
    <w:p>
      <w:pPr>
        <w:keepNext/>
        <w:keepLines/>
      </w:pPr>
      <w:r>
        <w:t>제안: 임직원 외 공유는 공유 대상과 목적을 특정하여 제공자의 사전 서면 동의를 받고, 동일한 비밀유지 의무와 수령자의 책임을 유지하는 조건으로 제안한다.</w:t>
      </w:r>
    </w:p>
    <w:p>
      <w:pPr>
        <w:keepLines/>
      </w:pPr>
      <w:r>
        <w:t>근거: 내부 K02. 법률상 유효성에 관한 결론이 아니다.</w:t>
      </w:r>
    </w:p>
    <w:p>
      <w:pPr>
        <w:pStyle w:val="Heading1"/>
        <w:keepNext/>
        <w:keepLines/>
      </w:pPr>
      <w:r>
        <w:t>C04 사용 목적 — 수정 요청</w:t>
      </w:r>
    </w:p>
    <w:p>
      <w:pPr>
        <w:keepNext/>
        <w:keepLines/>
      </w:pPr>
      <w:r>
        <w:t>우리 제4조 / 상대 제5조</w:t>
      </w:r>
    </w:p>
    <w:p>
      <w:pPr>
        <w:keepNext/>
        <w:keepLines/>
      </w:pPr>
      <w:r>
        <w:t>자체 서비스 개선까지 허용하면 원가·배차 정보의 사용 범위가 넓어진다.</w:t>
      </w:r>
    </w:p>
    <w:p>
      <w:pPr>
        <w:keepNext/>
        <w:keepLines/>
      </w:pPr>
      <w:r>
        <w:t>제안: 해당 우리 초안 문구 유지를 요청하되, 대체 문구의 적절성은 법무팀 검토와 승인 후 확정한다.</w:t>
      </w:r>
    </w:p>
    <w:p>
      <w:pPr>
        <w:keepLines/>
      </w:pPr>
      <w:r>
        <w:t>근거: 내부 K03. 법률상 유효성에 관한 결론이 아니다.</w:t>
      </w:r>
    </w:p>
    <w:p>
      <w:pPr>
        <w:pStyle w:val="Heading1"/>
        <w:keepNext/>
        <w:keepLines/>
      </w:pPr>
      <w:r>
        <w:t>C05 보호·통지 — 수정 요청</w:t>
      </w:r>
    </w:p>
    <w:p>
      <w:pPr>
        <w:keepNext/>
        <w:keepLines/>
      </w:pPr>
      <w:r>
        <w:t>우리 제5조 / 상대 제6조</w:t>
      </w:r>
    </w:p>
    <w:p>
      <w:pPr>
        <w:keepNext/>
        <w:keepLines/>
      </w:pPr>
      <w:r>
        <w:t>유출 등을 안 때부터 통지까지의 허용 시간이 72시간 늘어난다.</w:t>
      </w:r>
    </w:p>
    <w:p>
      <w:pPr>
        <w:keepNext/>
        <w:keepLines/>
      </w:pPr>
      <w:r>
        <w:t>제안: 해당 우리 초안 문구 유지를 요청하되, 대체 문구의 적절성은 법무팀 검토와 승인 후 확정한다.</w:t>
      </w:r>
    </w:p>
    <w:p>
      <w:pPr>
        <w:keepLines/>
      </w:pPr>
      <w:r>
        <w:t>근거: 내부 K04. 법률상 유효성에 관한 결론이 아니다.</w:t>
      </w:r>
    </w:p>
    <w:p>
      <w:pPr>
        <w:pStyle w:val="Heading1"/>
        <w:keepNext/>
        <w:keepLines/>
      </w:pPr>
      <w:r>
        <w:t>C06 유효·보호 기간 — 수정 요청</w:t>
      </w:r>
    </w:p>
    <w:p>
      <w:pPr>
        <w:keepNext/>
        <w:keepLines/>
      </w:pPr>
      <w:r>
        <w:t>우리 제6조 / 상대 제7조</w:t>
      </w:r>
    </w:p>
    <w:p>
      <w:pPr>
        <w:keepNext/>
        <w:keepLines/>
      </w:pPr>
      <w:r>
        <w:t>협의 종료 뒤 보호 기간이 36개월에서 12개월로 짧아진다.</w:t>
      </w:r>
    </w:p>
    <w:p>
      <w:pPr>
        <w:keepNext/>
        <w:keepLines/>
      </w:pPr>
      <w:r>
        <w:t>제안: 해당 우리 초안 문구 유지를 요청하되, 대체 문구의 적절성은 법무팀 검토와 승인 후 확정한다.</w:t>
      </w:r>
    </w:p>
    <w:p>
      <w:pPr>
        <w:keepLines/>
      </w:pPr>
      <w:r>
        <w:t>근거: 내부 K05. 법률상 유효성에 관한 결론이 아니다.</w:t>
      </w:r>
    </w:p>
    <w:p>
      <w:pPr>
        <w:pStyle w:val="Heading1"/>
        <w:keepNext/>
        <w:keepLines/>
      </w:pPr>
      <w:r>
        <w:t>C07 반환·폐기 — 조건부 검토</w:t>
      </w:r>
    </w:p>
    <w:p>
      <w:pPr>
        <w:keepNext/>
        <w:keepLines/>
      </w:pPr>
      <w:r>
        <w:t>우리 제7조 / 상대 제8조</w:t>
      </w:r>
    </w:p>
    <w:p>
      <w:pPr>
        <w:keepNext/>
        <w:keepLines/>
      </w:pPr>
      <w:r>
        <w:t>일반 자료 폐기와 자동 백업 예외를 구분해야 한다. 내부 기준의 30일과 백업 90일은 승인 전 제안이다.</w:t>
      </w:r>
    </w:p>
    <w:p>
      <w:pPr>
        <w:keepNext/>
        <w:keepLines/>
      </w:pPr>
      <w:r>
        <w:t>제안: 일반 자료는 요청 수령일부터 30일 이내 폐기. 자동 백업만 최대 90일 보관하되 복구 목적 외 사용 금지, 접근 제한, 기한 후 폐기 및 완료 서면 통지를 조건으로 제안한다. 법령상 보관 의무 등 추가 예외가 필요하면 법무팀에 확인한다.</w:t>
      </w:r>
    </w:p>
    <w:p>
      <w:pPr>
        <w:keepLines/>
      </w:pPr>
      <w:r>
        <w:t>근거: 내부 K06. 법률상 유효성에 관한 결론이 아니다.</w:t>
      </w:r>
    </w:p>
    <w:p>
      <w:pPr>
        <w:pStyle w:val="Heading1"/>
        <w:keepNext/>
        <w:keepLines/>
      </w:pPr>
      <w:r>
        <w:t>C08 배상 한도 — 수정 요청</w:t>
      </w:r>
    </w:p>
    <w:p>
      <w:pPr>
        <w:keepNext/>
        <w:keepLines/>
      </w:pPr>
      <w:r>
        <w:t>우리 제8조 / 상대 제9조</w:t>
      </w:r>
    </w:p>
    <w:p>
      <w:pPr>
        <w:keepNext/>
        <w:keepLines/>
      </w:pPr>
      <w:r>
        <w:t>일반 과실의 총 배상 한도가 5,000만 원에서 1,000만 원으로 낮아진다. 고의·중대한 과실의 한도 예외는 그대로다.</w:t>
      </w:r>
    </w:p>
    <w:p>
      <w:pPr>
        <w:keepNext/>
        <w:keepLines/>
      </w:pPr>
      <w:r>
        <w:t>제안: 해당 우리 초안 문구 유지를 요청하되, 대체 문구의 적절성은 법무팀 검토와 승인 후 확정한다.</w:t>
      </w:r>
    </w:p>
    <w:p>
      <w:pPr>
        <w:keepLines/>
      </w:pPr>
      <w:r>
        <w:t>근거: 내부 K07. 법률상 유효성에 관한 결론이 아니다.</w:t>
      </w:r>
    </w:p>
    <w:p>
      <w:pPr>
        <w:pStyle w:val="Heading1"/>
        <w:keepNext/>
        <w:keepLines/>
      </w:pPr>
      <w:r>
        <w:t>C09 분쟁 담당 법원 — 수정 요청</w:t>
      </w:r>
    </w:p>
    <w:p>
      <w:pPr>
        <w:keepNext/>
        <w:keepLines/>
      </w:pPr>
      <w:r>
        <w:t>우리 제9조 / 상대 제10조</w:t>
      </w:r>
    </w:p>
    <w:p>
      <w:pPr>
        <w:keepNext/>
        <w:keepLines/>
      </w:pPr>
      <w:r>
        <w:t>우리 회사 소재지를 기준으로 정한 담당 법원을 상대 소재지 기준으로 바꾸었다. 합의 여부를 확인한다.</w:t>
      </w:r>
    </w:p>
    <w:p>
      <w:pPr>
        <w:keepNext/>
        <w:keepLines/>
      </w:pPr>
      <w:r>
        <w:t>제안: 해당 우리 초안 문구 유지를 요청하되, 대체 문구의 적절성은 법무팀 검토와 승인 후 확정한다.</w:t>
      </w:r>
    </w:p>
    <w:p>
      <w:pPr>
        <w:keepLines/>
      </w:pPr>
      <w:r>
        <w:t>근거: 내부 K08. 법률상 유효성에 관한 결론이 아니다.</w:t>
      </w:r>
    </w:p>
    <w:p>
      <w:pPr>
        <w:pStyle w:val="Heading1"/>
      </w:pPr>
      <w:r>
        <w:t>담당별 확인</w:t>
      </w:r>
    </w:p>
    <w:p>
      <w:r>
        <w:t>현업 O과장: 반환·폐기 가능 일정. 보안 담당: 협력사 공유와 백업 통제. 법무팀·외부 변호사: 신규 경쟁 제한, 배상 한도 예외와 최종 문안. 결재자: 양보 조건과 서명 승인. 응답 기한: 확인 필요.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검토 초안 · 실제 거래 사용 금지 · 최종 판단은 법무팀·변호사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한결물류 · 대현테크 (모두 가명) | 내부 교육 전용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