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검토 배경과 내부 협상 기준</w:t>
      </w:r>
    </w:p>
    <w:p>
      <w:r>
        <w:t>검토 대상: 우리 초안 A와 상대 수정본 B. 우리 회사는 한결물류, 상대는 대현테크다. 서로 정보를 주고받는 계약이며 한결물류도 수령자의 의무를 부담한다.</w:t>
      </w:r>
    </w:p>
    <w:p>
      <w:r>
        <w:t>협의에서 한결물류는 노선별 원가와 배차 기준을, 대현테크는 출하 계획을 제공할 예정이다. 실제 파일은 제공하지 않고 이 가상 메모만 실습에 쓴다.</w:t>
      </w:r>
    </w:p>
    <w:p>
      <w:r>
        <w:t>현재 상태: 양쪽 서명 전. 상대 수정은 변경 추적 표시가 없는 본문 완성본이다. 서식 색상이나 메모에 의존하지 않고 두 본문을 대조한다. 실습에서 AI가 만든 표는 결과 예시와 순서가 달라도 의미별 대응과 원문이 맞으면 된다.</w:t>
      </w:r>
    </w:p>
    <w:p>
      <w:pPr>
        <w:pStyle w:val="Heading2"/>
      </w:pPr>
      <w:r>
        <w:t>K01 비밀정보</w:t>
      </w:r>
    </w:p>
    <w:p>
      <w:r>
        <w:t>표시 누락만으로 노선별 원가·배차 기준이 보호에서 빠지면 수정 요청. 공개 정보 등 기존 제외 조건은 보존한다.</w:t>
      </w:r>
    </w:p>
    <w:p>
      <w:pPr>
        <w:pStyle w:val="Heading2"/>
      </w:pPr>
      <w:r>
        <w:t>K02 공유 대상</w:t>
      </w:r>
    </w:p>
    <w:p>
      <w:r>
        <w:t>임직원 외 공유는 대상 특정, 사전 서면 동의, 동일 의무와 수령자의 책임을 모두 갖추는 조건으로 검토한다.</w:t>
      </w:r>
    </w:p>
    <w:p>
      <w:pPr>
        <w:pStyle w:val="Heading2"/>
      </w:pPr>
      <w:r>
        <w:t>K03 사용 목적</w:t>
      </w:r>
    </w:p>
    <w:p>
      <w:r>
        <w:t>협의 검토로 제한한다. 자체 서비스 개발·가격 결정·개선 사용은 별도 동의 없이 허용하지 않는다.</w:t>
      </w:r>
    </w:p>
    <w:p>
      <w:pPr>
        <w:pStyle w:val="Heading2"/>
      </w:pPr>
      <w:r>
        <w:t>K04 보호·통지</w:t>
      </w:r>
    </w:p>
    <w:p>
      <w:r>
        <w:t>유출 등을 안 때부터 48시간 이내 서면 통지를 요청한다. 이 시간은 가상 내부 요구이며 법정 기한이 아니다.</w:t>
      </w:r>
    </w:p>
    <w:p>
      <w:pPr>
        <w:pStyle w:val="Heading2"/>
      </w:pPr>
      <w:r>
        <w:t>K05 보호 기간</w:t>
      </w:r>
    </w:p>
    <w:p>
      <w:r>
        <w:t>협의 종료일부터 36개월 보호를 요청한다. 법에서 정한 일률적인 기간으로 설명하지 않는다.</w:t>
      </w:r>
    </w:p>
    <w:p>
      <w:r>
        <w:br w:type="page"/>
      </w:r>
    </w:p>
    <w:p>
      <w:pPr>
        <w:pStyle w:val="Heading2"/>
      </w:pPr>
      <w:r>
        <w:t>K06 반환·폐기</w:t>
      </w:r>
    </w:p>
    <w:p>
      <w:r>
        <w:t>원칙은 요청 수령일부터 10일. 업무상 필요가 확인되면 일반 자료 30일을 조건부 검토한다. 자동 백업만 최대 90일, 복구 목적 외 사용 금지·접근 제한·기한 후 폐기·완료 통지를 제안한다. 모두 승인 전 제안이다.</w:t>
      </w:r>
    </w:p>
    <w:p>
      <w:pPr>
        <w:pStyle w:val="Heading2"/>
      </w:pPr>
      <w:r>
        <w:t>K07 배상 한도</w:t>
      </w:r>
    </w:p>
    <w:p>
      <w:r>
        <w:t>일반 과실 총 한도 50,000,000원 유지 요청. 고의·중대한 과실의 한도 예외는 보존한다. 실제 손해·효력·회수 가능액은 법률 검토 전 단정하지 않는다.</w:t>
      </w:r>
    </w:p>
    <w:p>
      <w:pPr>
        <w:pStyle w:val="Heading2"/>
      </w:pPr>
      <w:r>
        <w:t>K08 분쟁 담당 법원</w:t>
      </w:r>
    </w:p>
    <w:p>
      <w:r>
        <w:t>우리 초안대로 한결물류 본점 소재지 관할을 유지 요청한다. 법적 유효성은 별도 확인한다.</w:t>
      </w:r>
    </w:p>
    <w:p>
      <w:pPr>
        <w:pStyle w:val="Heading2"/>
      </w:pPr>
      <w:r>
        <w:t>K09 경쟁 업무 제한</w:t>
      </w:r>
    </w:p>
    <w:p>
      <w:r>
        <w:t>NDA 목적을 넘는 신규 영업 제한은 별도 법률 검토. 6개월이라는 이유만으로 유효·무효 또는 수용 가능을 단정하지 않는다.</w:t>
      </w:r>
    </w:p>
    <w:p>
      <w:pPr>
        <w:pStyle w:val="Heading2"/>
      </w:pPr>
      <w:r>
        <w:t>검토·승인 담당</w:t>
      </w:r>
    </w:p>
    <w:p>
      <w:r>
        <w:t>현업 O과장: 변경 사실·운영 가능 여부 확인. 보안 담당: 공유 대상·백업 조건 검토. 법무팀·외부 변호사: 법적 효과·문안·신규 경쟁 제한 검토. 권한 있는 결재자: 양보 조건과 서명 승인. 응답 기한은 아직 정하지 않아 확인 필요다.</w:t>
      </w:r>
    </w:p>
    <w:p>
      <w:pPr>
        <w:pStyle w:val="Heading2"/>
      </w:pPr>
      <w:r>
        <w:t>비용 가정 — 모두 예시</w:t>
      </w:r>
    </w:p>
    <w:p>
      <w:r>
        <w:t>같은 검토 범위를 전제로 외부 정리·검토 4시간 × 시간당 200,000원 = 800,000원. 내부 사전 대조 후 외부 쟁점 검토 2시간 × 같은 단가 = 400,000원. 차이 400,000원은 가상 비교이며 실제 견적이나 보장 절감액이 아니다. 세금·구독료·내부 작업 비용은 제외했다. 내부 준비 120분 → 60분, 차이 60분은 금액으로 합산하지 않는다.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검토 초안 · 실제 거래 사용 금지 · 최종 판단은 법무팀·변호사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 · 대현테크 (모두 가명) | 내부 교육 전용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