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실제 법령·조례와 무관</w:t>
      </w:r>
    </w:p>
    <w:p>
      <w:pPr>
        <w:pStyle w:val="Heading1"/>
      </w:pPr>
      <w:r>
        <w:t>「공공시설 이용 및 안전관리에 관한 법률」 질의 검토 결과 (앞 업무 결과)</w:t>
      </w:r>
    </w:p>
    <w:p>
      <w:r>
        <w:t>앞서 «업무 관련 법령·지침 질의 검토»에서 정리한 내용입니다. JJ시 조례가 이 법을 어떻게 가져다 쓰는지에 대한 검토 메모입니다.</w:t>
      </w:r>
    </w:p>
    <w:p>
      <w:r>
        <w:t>조례가 법을 가져다 쓰는 방식은 크게 세 가지입니다: ① 법 조문 번호를 그대로 인용, ② 법에서 정한 숫자(기한·인원·금액)를 조례에 옮겨 적음, ③ 법의 용어를 그대로 사용.</w:t>
      </w:r>
    </w:p>
    <w:p>
      <w:r>
        <w:t>같은 낱말이라도 다른 법에서 인용했거나 이 법과 관계없는 곳에 쓰였으면 정비 대상이 아닙니다.</w:t>
      </w:r>
    </w:p>
    <w:p>
      <w:r>
        <w:t>개정 법령의 경과조치 범위는 법제처 원문에서 확인해야 합니다 (확인 필요).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법 조문</w:t>
            </w:r>
          </w:p>
        </w:tc>
        <w:tc>
          <w:tcPr>
            <w:tcW w:type="dxa" w:w="2880"/>
          </w:tcPr>
          <w:p>
            <w:r>
              <w:t>조례에서 볼 곳</w:t>
            </w:r>
          </w:p>
        </w:tc>
      </w:tr>
      <w:tr>
        <w:tc>
          <w:tcPr>
            <w:tcW w:type="dxa" w:w="2880"/>
          </w:tcPr>
          <w:p>
            <w:r>
              <w:t>안전점검 주기</w:t>
            </w:r>
          </w:p>
        </w:tc>
        <w:tc>
          <w:tcPr>
            <w:tcW w:type="dxa" w:w="2880"/>
          </w:tcPr>
          <w:p>
            <w:r>
              <w:t>법 제7조</w:t>
            </w:r>
          </w:p>
        </w:tc>
        <w:tc>
          <w:tcPr>
            <w:tcW w:type="dxa" w:w="2880"/>
          </w:tcPr>
          <w:p>
            <w:r>
              <w:t>시설 안전점검 횟수를 정한 조문</w:t>
            </w:r>
          </w:p>
        </w:tc>
      </w:tr>
      <w:tr>
        <w:tc>
          <w:tcPr>
            <w:tcW w:type="dxa" w:w="2880"/>
          </w:tcPr>
          <w:p>
            <w:r>
              <w:t>사고 신고 기한</w:t>
            </w:r>
          </w:p>
        </w:tc>
        <w:tc>
          <w:tcPr>
            <w:tcW w:type="dxa" w:w="2880"/>
          </w:tcPr>
          <w:p>
            <w:r>
              <w:t>법 제9조</w:t>
            </w:r>
          </w:p>
        </w:tc>
        <w:tc>
          <w:tcPr>
            <w:tcW w:type="dxa" w:w="2880"/>
          </w:tcPr>
          <w:p>
            <w:r>
              <w:t>사고가 났을 때 신고 기한을 정한 조문</w:t>
            </w:r>
          </w:p>
        </w:tc>
      </w:tr>
      <w:tr>
        <w:tc>
          <w:tcPr>
            <w:tcW w:type="dxa" w:w="2880"/>
          </w:tcPr>
          <w:p>
            <w:r>
              <w:t>위원회 위원 수</w:t>
            </w:r>
          </w:p>
        </w:tc>
        <w:tc>
          <w:tcPr>
            <w:tcW w:type="dxa" w:w="2880"/>
          </w:tcPr>
          <w:p>
            <w:r>
              <w:t>법 제11조</w:t>
            </w:r>
          </w:p>
        </w:tc>
        <w:tc>
          <w:tcPr>
            <w:tcW w:type="dxa" w:w="2880"/>
          </w:tcPr>
          <w:p>
            <w:r>
              <w:t>법에 따른 시설안전위원회 인원을 정한 조문</w:t>
            </w:r>
          </w:p>
        </w:tc>
      </w:tr>
      <w:tr>
        <w:tc>
          <w:tcPr>
            <w:tcW w:type="dxa" w:w="2880"/>
          </w:tcPr>
          <w:p>
            <w:r>
              <w:t>시행계획 근거 조문</w:t>
            </w:r>
          </w:p>
        </w:tc>
        <w:tc>
          <w:tcPr>
            <w:tcW w:type="dxa" w:w="2880"/>
          </w:tcPr>
          <w:p>
            <w:r>
              <w:t>법 제12조 → 제8조의2</w:t>
            </w:r>
          </w:p>
        </w:tc>
        <w:tc>
          <w:tcPr>
            <w:tcW w:type="dxa" w:w="2880"/>
          </w:tcPr>
          <w:p>
            <w:r>
              <w:t>법의 시행계획 조문을 인용한 부분</w:t>
            </w:r>
          </w:p>
        </w:tc>
      </w:tr>
      <w:tr>
        <w:tc>
          <w:tcPr>
            <w:tcW w:type="dxa" w:w="2880"/>
          </w:tcPr>
          <w:p>
            <w:r>
              <w:t>과태료 상한</w:t>
            </w:r>
          </w:p>
        </w:tc>
        <w:tc>
          <w:tcPr>
            <w:tcW w:type="dxa" w:w="2880"/>
          </w:tcPr>
          <w:p>
            <w:r>
              <w:t>법 제15조</w:t>
            </w:r>
          </w:p>
        </w:tc>
        <w:tc>
          <w:tcPr>
            <w:tcW w:type="dxa" w:w="2880"/>
          </w:tcPr>
          <w:p>
            <w:r>
              <w:t>법 위반에 부과하는 과태료 한도를 정한 조문</w:t>
            </w:r>
          </w:p>
        </w:tc>
      </w:tr>
      <w:tr>
        <w:tc>
          <w:tcPr>
            <w:tcW w:type="dxa" w:w="2880"/>
          </w:tcPr>
          <w:p>
            <w:r>
              <w:t>용어</w:t>
            </w:r>
          </w:p>
        </w:tc>
        <w:tc>
          <w:tcPr>
            <w:tcW w:type="dxa" w:w="2880"/>
          </w:tcPr>
          <w:p>
            <w:r>
              <w:t>법 제5조</w:t>
            </w:r>
          </w:p>
        </w:tc>
        <w:tc>
          <w:tcPr>
            <w:tcW w:type="dxa" w:w="2880"/>
          </w:tcPr>
          <w:p>
            <w:r>
              <w:t>법 제5조의 용어를 가져다 쓴 조문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