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실제 법령·조례와 무관</w:t>
      </w:r>
    </w:p>
    <w:p>
      <w:pPr>
        <w:pStyle w:val="Heading1"/>
      </w:pPr>
      <w:r>
        <w:t>「공공시설 이용 및 안전관리에 관한 법률」 일부개정 신구조문대비표 (가상)</w:t>
      </w:r>
    </w:p>
    <w:p>
      <w:r>
        <w:t>국가법령정보센터에서 내려받는 신구조문 대비표를 흉내 낸 가상 자료입니다. 시행일: 2027년 3월 1일(가상).</w:t>
      </w:r>
    </w:p>
    <w:p>
      <w:r>
        <w:t>개정 사항은 모두 6가지입니다.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번호</w:t>
            </w:r>
          </w:p>
        </w:tc>
        <w:tc>
          <w:tcPr>
            <w:tcW w:type="dxa" w:w="1728"/>
          </w:tcPr>
          <w:p>
            <w:r>
              <w:t>항목</w:t>
            </w:r>
          </w:p>
        </w:tc>
        <w:tc>
          <w:tcPr>
            <w:tcW w:type="dxa" w:w="1728"/>
          </w:tcPr>
          <w:p>
            <w:r>
              <w:t>조문</w:t>
            </w:r>
          </w:p>
        </w:tc>
        <w:tc>
          <w:tcPr>
            <w:tcW w:type="dxa" w:w="1728"/>
          </w:tcPr>
          <w:p>
            <w:r>
              <w:t>현행</w:t>
            </w:r>
          </w:p>
        </w:tc>
        <w:tc>
          <w:tcPr>
            <w:tcW w:type="dxa" w:w="1728"/>
          </w:tcPr>
          <w:p>
            <w:r>
              <w:t>개정</w:t>
            </w:r>
          </w:p>
        </w:tc>
      </w:tr>
      <w:tr>
        <w:tc>
          <w:tcPr>
            <w:tcW w:type="dxa" w:w="1728"/>
          </w:tcPr>
          <w:p>
            <w:r>
              <w:t>A</w:t>
            </w:r>
          </w:p>
        </w:tc>
        <w:tc>
          <w:tcPr>
            <w:tcW w:type="dxa" w:w="1728"/>
          </w:tcPr>
          <w:p>
            <w:r>
              <w:t>안전점검 주기</w:t>
            </w:r>
          </w:p>
        </w:tc>
        <w:tc>
          <w:tcPr>
            <w:tcW w:type="dxa" w:w="1728"/>
          </w:tcPr>
          <w:p>
            <w:r>
              <w:t>법 제7조</w:t>
            </w:r>
          </w:p>
        </w:tc>
        <w:tc>
          <w:tcPr>
            <w:tcW w:type="dxa" w:w="1728"/>
          </w:tcPr>
          <w:p>
            <w:r>
              <w:t>연 1회 이상</w:t>
            </w:r>
          </w:p>
        </w:tc>
        <w:tc>
          <w:tcPr>
            <w:tcW w:type="dxa" w:w="1728"/>
          </w:tcPr>
          <w:p>
            <w:r>
              <w:t>반기마다 1회 이상</w:t>
            </w:r>
          </w:p>
        </w:tc>
      </w:tr>
      <w:tr>
        <w:tc>
          <w:tcPr>
            <w:tcW w:type="dxa" w:w="1728"/>
          </w:tcPr>
          <w:p>
            <w:r>
              <w:t>B</w:t>
            </w:r>
          </w:p>
        </w:tc>
        <w:tc>
          <w:tcPr>
            <w:tcW w:type="dxa" w:w="1728"/>
          </w:tcPr>
          <w:p>
            <w:r>
              <w:t>사고 신고 기한</w:t>
            </w:r>
          </w:p>
        </w:tc>
        <w:tc>
          <w:tcPr>
            <w:tcW w:type="dxa" w:w="1728"/>
          </w:tcPr>
          <w:p>
            <w:r>
              <w:t>법 제9조</w:t>
            </w:r>
          </w:p>
        </w:tc>
        <w:tc>
          <w:tcPr>
            <w:tcW w:type="dxa" w:w="1728"/>
          </w:tcPr>
          <w:p>
            <w:r>
              <w:t>30일 이내</w:t>
            </w:r>
          </w:p>
        </w:tc>
        <w:tc>
          <w:tcPr>
            <w:tcW w:type="dxa" w:w="1728"/>
          </w:tcPr>
          <w:p>
            <w:r>
              <w:t>14일 이내</w:t>
            </w:r>
          </w:p>
        </w:tc>
      </w:tr>
      <w:tr>
        <w:tc>
          <w:tcPr>
            <w:tcW w:type="dxa" w:w="1728"/>
          </w:tcPr>
          <w:p>
            <w:r>
              <w:t>C</w:t>
            </w:r>
          </w:p>
        </w:tc>
        <w:tc>
          <w:tcPr>
            <w:tcW w:type="dxa" w:w="1728"/>
          </w:tcPr>
          <w:p>
            <w:r>
              <w:t>위원회 위원 수</w:t>
            </w:r>
          </w:p>
        </w:tc>
        <w:tc>
          <w:tcPr>
            <w:tcW w:type="dxa" w:w="1728"/>
          </w:tcPr>
          <w:p>
            <w:r>
              <w:t>법 제11조</w:t>
            </w:r>
          </w:p>
        </w:tc>
        <w:tc>
          <w:tcPr>
            <w:tcW w:type="dxa" w:w="1728"/>
          </w:tcPr>
          <w:p>
            <w:r>
              <w:t>15명 이내</w:t>
            </w:r>
          </w:p>
        </w:tc>
        <w:tc>
          <w:tcPr>
            <w:tcW w:type="dxa" w:w="1728"/>
          </w:tcPr>
          <w:p>
            <w:r>
              <w:t>11명 이내</w:t>
            </w:r>
          </w:p>
        </w:tc>
      </w:tr>
      <w:tr>
        <w:tc>
          <w:tcPr>
            <w:tcW w:type="dxa" w:w="1728"/>
          </w:tcPr>
          <w:p>
            <w:r>
              <w:t>D</w:t>
            </w:r>
          </w:p>
        </w:tc>
        <w:tc>
          <w:tcPr>
            <w:tcW w:type="dxa" w:w="1728"/>
          </w:tcPr>
          <w:p>
            <w:r>
              <w:t>시행계획 근거 조문</w:t>
            </w:r>
          </w:p>
        </w:tc>
        <w:tc>
          <w:tcPr>
            <w:tcW w:type="dxa" w:w="1728"/>
          </w:tcPr>
          <w:p>
            <w:r>
              <w:t>법 제12조 → 제8조의2</w:t>
            </w:r>
          </w:p>
        </w:tc>
        <w:tc>
          <w:tcPr>
            <w:tcW w:type="dxa" w:w="1728"/>
          </w:tcPr>
          <w:p>
            <w:r>
              <w:t>법 제12조</w:t>
            </w:r>
          </w:p>
        </w:tc>
        <w:tc>
          <w:tcPr>
            <w:tcW w:type="dxa" w:w="1728"/>
          </w:tcPr>
          <w:p>
            <w:r>
              <w:t>법 제8조의2</w:t>
            </w:r>
          </w:p>
        </w:tc>
      </w:tr>
      <w:tr>
        <w:tc>
          <w:tcPr>
            <w:tcW w:type="dxa" w:w="1728"/>
          </w:tcPr>
          <w:p>
            <w:r>
              <w:t>E</w:t>
            </w:r>
          </w:p>
        </w:tc>
        <w:tc>
          <w:tcPr>
            <w:tcW w:type="dxa" w:w="1728"/>
          </w:tcPr>
          <w:p>
            <w:r>
              <w:t>과태료 상한</w:t>
            </w:r>
          </w:p>
        </w:tc>
        <w:tc>
          <w:tcPr>
            <w:tcW w:type="dxa" w:w="1728"/>
          </w:tcPr>
          <w:p>
            <w:r>
              <w:t>법 제15조</w:t>
            </w:r>
          </w:p>
        </w:tc>
        <w:tc>
          <w:tcPr>
            <w:tcW w:type="dxa" w:w="1728"/>
          </w:tcPr>
          <w:p>
            <w:r>
              <w:t>200만원 이하</w:t>
            </w:r>
          </w:p>
        </w:tc>
        <w:tc>
          <w:tcPr>
            <w:tcW w:type="dxa" w:w="1728"/>
          </w:tcPr>
          <w:p>
            <w:r>
              <w:t>100만원 이하</w:t>
            </w:r>
          </w:p>
        </w:tc>
      </w:tr>
      <w:tr>
        <w:tc>
          <w:tcPr>
            <w:tcW w:type="dxa" w:w="1728"/>
          </w:tcPr>
          <w:p>
            <w:r>
              <w:t>F</w:t>
            </w:r>
          </w:p>
        </w:tc>
        <w:tc>
          <w:tcPr>
            <w:tcW w:type="dxa" w:w="1728"/>
          </w:tcPr>
          <w:p>
            <w:r>
              <w:t>용어</w:t>
            </w:r>
          </w:p>
        </w:tc>
        <w:tc>
          <w:tcPr>
            <w:tcW w:type="dxa" w:w="1728"/>
          </w:tcPr>
          <w:p>
            <w:r>
              <w:t>법 제5조</w:t>
            </w:r>
          </w:p>
        </w:tc>
        <w:tc>
          <w:tcPr>
            <w:tcW w:type="dxa" w:w="1728"/>
          </w:tcPr>
          <w:p>
            <w:r>
              <w:t>노약자</w:t>
            </w:r>
          </w:p>
        </w:tc>
        <w:tc>
          <w:tcPr>
            <w:tcW w:type="dxa" w:w="1728"/>
          </w:tcPr>
          <w:p>
            <w:r>
              <w:t>고령자 등 이동약자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