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지자체 «JJ시» · 실제 기관·업체와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관련 법령 쟁점 해석 메모 (앞 업무 «업무 관련 법령·지침 질의 검토» 결과)</w:t>
      </w:r>
    </w:p>
    <w:p>
      <w:r>
        <w:rPr>
          <w:rFonts w:ascii="맑은 고딕" w:hAnsi="맑은 고딕" w:eastAsia="맑은 고딕"/>
          <w:b w:val="0"/>
          <w:sz w:val="22"/>
        </w:rPr>
        <w:t>질의: 어린이공원 안전점검 용역 계약서를 만들 때 지방계약법(지방자치단체를 당사자로 하는 계약에 관한 법률) 등에서 꼭 맞춰야 하는 것은?</w:t>
      </w:r>
    </w:p>
    <w:p>
      <w:r>
        <w:rPr>
          <w:rFonts w:ascii="맑은 고딕" w:hAnsi="맑은 고딕" w:eastAsia="맑은 고딕"/>
          <w:b w:val="0"/>
          <w:sz w:val="18"/>
        </w:rPr>
        <w:t>※ 조문 번호와 비율은 이 메모에 없는 내용이라 «확인 필요»로 남겼습니다. 담당자가 최신 법령에서 확인해 채웁니다.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쟁점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해석 요지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확인 필요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① 계약보증금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계약을 지키게 하려고 받는 보증금이다. 받는 비율은 법령·시 지침 기준을 따른다.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비율 (조문 번호 확인 필요)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② 지체상금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계약기간을 넘기면 부과하는 금액이다. 비율은 법령에서 정한 기준을 따른다.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비율 (조문 번호 확인 필요)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③ 하자담보책임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끝난 뒤 나온 하자를 고치는 책임이다. 기간은 계약서에 분명히 적어야 한다.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법령상 최소 기간 (확인 필요)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④ 대금 지급 시기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검사가 끝난 뒤 정해진 기한 안에 지급한다. 기한은 계약서와 특수조건이 같아야 한다.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법령상 기한 (확인 필요)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⑤ 계약금액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계약금액은 산출내역서의 합계와 같아야 하고, 바꾸려면 절차가 필요하다.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조정 절차 (확인 필요)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