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지자체·가상 인물·가상 업체(실제와 무관)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정보공개 청구서</w:t>
      </w:r>
    </w:p>
    <w:p>
      <w:r>
        <w:t>JJ시청 정보공개 담당 접수 / 접수번호 JJ-2025-정공-0127 / 접수일 2025-11-12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청구인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오한결 (가명) · 연락처는 접수대장에 있음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청구 내용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«새솔동 마을 보안등 LED 교체 지원 사업»과 관련해 시가 가지고 있는 문서 일체(계획서, 신청·동의 서류, 업체 견적, 검토 의견, 현장 확인, 집행 내역, 민원 접수 내역)를 공개해 달라.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공개 방법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사본 교부 (전자 파일)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처리 부서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도로관리과 (사업 부서) · 정보공개 담당 부서와 함께 검토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처리 기한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접수일부터 법정 기한 (기한 계산과 연장 여부는 확인 필요)</w:t>
            </w:r>
          </w:p>
        </w:tc>
      </w:tr>
    </w:tbl>
    <w:p/>
    <w:p>
      <w:r>
        <w:t>대상 문서 7건의 내용은 «대상문서_7건_발췌_가상.pdf», 판단 기준은 «비공개대상_판단기준_발췌_가상.pdf» 를 보세요.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