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인물·가상 업체(실제와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정보공개 결정 통지서 (AI 초안 · 담당자 검토 전)</w:t>
      </w:r>
    </w:p>
    <w:p>
      <w:r>
        <w:t>JJ시청 / 접수번호 JJ-2025-정공-0127 / 청구인 오한결 (가명) 귀하</w:t>
      </w:r>
    </w:p>
    <w:p>
      <w:r>
        <w:t>귀하께서 청구하신 «새솔동 마을 보안등 LED 교체 지원 사업» 관련 정보에 대해 아래와 같이 결정하였음을 알려 드립니다.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결정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D1 사업 추진 계획서, D6 사업비 집행 내역서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2건 6쪽 전부 공개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부분 공개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D2 주민 동의서, D3 업체 견적서, D5 현장 확인 결과, D7 민원 접수 내역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4건 17쪽, 개인 식별 정보와 업체 영업상 비밀 부분을 가리고 공개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비공개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D4 선정 방식 내부 검토 의견서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1건 2쪽, 의사결정 과정에 있는 사항이라 비공개</w:t>
            </w:r>
          </w:p>
        </w:tc>
      </w:tr>
    </w:tbl>
    <w:p/>
    <w:p>
      <w:pPr>
        <w:pStyle w:val="Heading2"/>
      </w:pPr>
      <w:r>
        <w:t>비공개·부분 공개 이유</w:t>
      </w:r>
    </w:p>
    <w:p>
      <w:r>
        <w:t>개인을 알아볼 수 있는 정보(법 제9조제1항제6호), 업체의 영업상 비밀(제7호), 의사결정 과정에 있는 사항(제5호)에 해당합니다. 가린 곳에는 비공개 사유 번호를 표시했습니다.</w:t>
      </w:r>
    </w:p>
    <w:p>
      <w:pPr>
        <w:pStyle w:val="Heading2"/>
      </w:pPr>
      <w:r>
        <w:t>불복 방법</w:t>
      </w:r>
    </w:p>
    <w:p>
      <w:r>
        <w:t>이 결정에 이의가 있으면 기관의 표준 안내 문구에 따라 이의신청, 행정심판, 행정소송을 할 수 있습니다. (기간은 확인 필요)</w:t>
      </w:r>
    </w:p>
    <w:p/>
    <w:p>
      <w:r>
        <w:t>이 통지문은 AI 초안입니다. 담당자가 확인하고 결재한 뒤에만 보냅니다.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