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가상 지자체·가상 조례(실제 조례와 무관)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앞 업무 결과: 국민신문고 민원 답변에서 나온 법령 쟁점</w:t>
      </w:r>
    </w:p>
    <w:p>
      <w:r>
        <w:t>JJ시청 / 국민신문고 민원 답변 초안 쓰기에서 만든 민원 B(보안등 교체 요청) 정리 · 가상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항목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내용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민원 B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새솔동 은행나무길 골목 보안등이 어두우니 더 밝은 것으로 바꿔 달라(민원인 가명)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답변 초안 요지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교체를 약속하지 않고, 새솔동 주민센터가 현장을 보고 판단한다고 안내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남은 법령 쟁점 1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시가 보안등 교체비를 지원할 수 있는 근거가 있는가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남은 법령 쟁점 2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지원한다면 어떤 보안등이 대상이고 금액 한도는 얼마인가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남은 법령 쟁점 3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주민 동의 등 어떤 절차가 필요한가</w:t>
            </w:r>
          </w:p>
        </w:tc>
      </w:tr>
    </w:tbl>
    <w:p/>
    <w:p>
      <w:r>
        <w:t>이 쟁점을 오늘 «업무 관련 법령·지침 질의 검토»의 질문으로 이어 받습니다.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