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정기 안전성 보고서(PSUR) 본문 초안 — 제이비프레정</w:t>
      </w:r>
    </w:p>
    <w:p>
      <w:r>
        <w:rPr>
          <w:b w:val="0"/>
          <w:color w:val="C02020"/>
        </w:rPr>
        <w:t>교육 영상 시연용 가상 자료 (JJ바이오팜·제품·환자는 모두 가상입니다)</w:t>
      </w:r>
    </w:p>
    <w:p>
      <w:r>
        <w:rPr>
          <w:b w:val="0"/>
          <w:color w:val="C02020"/>
        </w:rPr>
        <w:t>※ 초안입니다. 붉은 글씨는 담당자가 확인·작성할 곳입니다. 제출 양식과 항목 번호는 회사 규정과 최신 지침을 확인해 맞춥니다.</w:t>
      </w:r>
    </w:p>
    <w:p>
      <w:pPr>
        <w:pStyle w:val="Heading2"/>
      </w:pPr>
      <w:r>
        <w:t>1. 보고기간과 자료</w:t>
      </w:r>
    </w:p>
    <w:p>
      <w:r>
        <w:rPr>
          <w:b w:val="0"/>
        </w:rPr>
        <w:t>보고기간은 2026년 5월 1일부터 2026년 10월 31일까지이다. 접수대장 300줄 중 보고기간 밖 접수 5건과 중복으로 판단한 6건을 제외한 289건을 집계하였다.</w:t>
      </w:r>
    </w:p>
    <w:p>
      <w:pPr>
        <w:pStyle w:val="Heading2"/>
      </w:pPr>
      <w:r>
        <w:t>2. 접수 현황</w:t>
      </w:r>
    </w:p>
    <w:p>
      <w:r>
        <w:rPr>
          <w:b w:val="0"/>
        </w:rPr>
        <w:t>집계 대상은 289건이며 중대 사례 12건, 비중대 270건, 중대 여부 미기재 7건이다. 이상반응은 모두 306건이다 (한 사례에 증상이 둘인 17건 포함). 직전 기간(사례 226건) 대비 접수 건수는 +28% 변화하였다. 변화의 원인 평가는 담당자가 한다.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9"/>
              </w:rPr>
              <w:t>월</w:t>
            </w:r>
          </w:p>
        </w:tc>
        <w:tc>
          <w:tcPr>
            <w:tcW w:type="dxa" w:w="4320"/>
          </w:tcPr>
          <w:p>
            <w:r>
              <w:rPr>
                <w:b/>
                <w:sz w:val="19"/>
              </w:rPr>
              <w:t>사례 건수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9"/>
              </w:rPr>
              <w:t>5월</w:t>
            </w:r>
          </w:p>
        </w:tc>
        <w:tc>
          <w:tcPr>
            <w:tcW w:type="dxa" w:w="4320"/>
          </w:tcPr>
          <w:p>
            <w:r>
              <w:rPr>
                <w:b w:val="0"/>
                <w:sz w:val="19"/>
              </w:rPr>
              <w:t>38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9"/>
              </w:rPr>
              <w:t>6월</w:t>
            </w:r>
          </w:p>
        </w:tc>
        <w:tc>
          <w:tcPr>
            <w:tcW w:type="dxa" w:w="4320"/>
          </w:tcPr>
          <w:p>
            <w:r>
              <w:rPr>
                <w:b w:val="0"/>
                <w:sz w:val="19"/>
              </w:rPr>
              <w:t>53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9"/>
              </w:rPr>
              <w:t>7월</w:t>
            </w:r>
          </w:p>
        </w:tc>
        <w:tc>
          <w:tcPr>
            <w:tcW w:type="dxa" w:w="4320"/>
          </w:tcPr>
          <w:p>
            <w:r>
              <w:rPr>
                <w:b w:val="0"/>
                <w:sz w:val="19"/>
              </w:rPr>
              <w:t>53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9"/>
              </w:rPr>
              <w:t>8월</w:t>
            </w:r>
          </w:p>
        </w:tc>
        <w:tc>
          <w:tcPr>
            <w:tcW w:type="dxa" w:w="4320"/>
          </w:tcPr>
          <w:p>
            <w:r>
              <w:rPr>
                <w:b w:val="0"/>
                <w:sz w:val="19"/>
              </w:rPr>
              <w:t>51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9"/>
              </w:rPr>
              <w:t>9월</w:t>
            </w:r>
          </w:p>
        </w:tc>
        <w:tc>
          <w:tcPr>
            <w:tcW w:type="dxa" w:w="4320"/>
          </w:tcPr>
          <w:p>
            <w:r>
              <w:rPr>
                <w:b w:val="0"/>
                <w:sz w:val="19"/>
              </w:rPr>
              <w:t>39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9"/>
              </w:rPr>
              <w:t>10월</w:t>
            </w:r>
          </w:p>
        </w:tc>
        <w:tc>
          <w:tcPr>
            <w:tcW w:type="dxa" w:w="4320"/>
          </w:tcPr>
          <w:p>
            <w:r>
              <w:rPr>
                <w:b w:val="0"/>
                <w:sz w:val="19"/>
              </w:rPr>
              <w:t>55</w:t>
            </w:r>
          </w:p>
        </w:tc>
      </w:tr>
    </w:tbl>
    <w:p>
      <w:pPr>
        <w:pStyle w:val="Heading2"/>
      </w:pPr>
      <w:r>
        <w:t>3. 증상별 집계</w:t>
      </w:r>
    </w:p>
    <w:p>
      <w:r>
        <w:rPr>
          <w:b w:val="0"/>
        </w:rPr>
        <w:t>이상반응이 많은 증상은 부종 43건, 어지러움 43건, 두통 34건 순이다. 증상 묶음별로는 신경계 82건, 순환기 75건, 소화기 42건 순이다.</w:t>
      </w:r>
    </w:p>
    <w:p>
      <w:r>
        <w:rPr>
          <w:b w:val="0"/>
          <w:color w:val="C02020"/>
        </w:rPr>
        <w:t>묶음표에 없는 표기 9건은 '분류 확인 필요'으로 따로 두었다 (확인 필요).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  <w:sz w:val="19"/>
              </w:rPr>
              <w:t>증상</w:t>
            </w:r>
          </w:p>
        </w:tc>
        <w:tc>
          <w:tcPr>
            <w:tcW w:type="dxa" w:w="2880"/>
          </w:tcPr>
          <w:p>
            <w:r>
              <w:rPr>
                <w:b/>
                <w:sz w:val="19"/>
              </w:rPr>
              <w:t>이상반응 건수</w:t>
            </w:r>
          </w:p>
        </w:tc>
        <w:tc>
          <w:tcPr>
            <w:tcW w:type="dxa" w:w="2880"/>
          </w:tcPr>
          <w:p>
            <w:r>
              <w:rPr>
                <w:b/>
                <w:sz w:val="19"/>
              </w:rPr>
              <w:t>그중 중대 사례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9"/>
              </w:rPr>
              <w:t>부종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43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9"/>
              </w:rPr>
              <w:t>어지러움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43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1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9"/>
              </w:rPr>
              <w:t>두통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9"/>
              </w:rPr>
              <w:t>마른기침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9"/>
              </w:rPr>
              <w:t>심계항진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9"/>
              </w:rPr>
              <w:t>피로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9"/>
              </w:rPr>
              <w:t>오심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9"/>
              </w:rPr>
              <w:t>근육통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0</w:t>
            </w:r>
          </w:p>
        </w:tc>
      </w:tr>
    </w:tbl>
    <w:p>
      <w:pPr>
        <w:pStyle w:val="Heading2"/>
      </w:pPr>
      <w:r>
        <w:t>4. 중대한 이상사례</w:t>
      </w:r>
    </w:p>
    <w:p>
      <w:r>
        <w:rPr>
          <w:b w:val="0"/>
        </w:rPr>
        <w:t>중대 사례 12건의 사유는 입원 8건, 사망 1건, 생명 위협 2건, 의학적으로 중요 1건이다. 사망 1건(PV-2026-0068)은 후속 정보를 기다리는 중이며 인과관계는 평가되지 않았다 (확인 필요).</w:t>
      </w:r>
    </w:p>
    <w:p>
      <w:r>
        <w:rPr>
          <w:b w:val="0"/>
        </w:rPr>
        <w:t>사례별 서술문은 앞서 쓴 서술문 누적분을 참조한다 (예: PV-2026-0102).</w:t>
      </w:r>
    </w:p>
    <w:p>
      <w:pPr>
        <w:pStyle w:val="Heading2"/>
      </w:pPr>
      <w:r>
        <w:t>5. 직전 보고기간과 비교</w:t>
      </w:r>
    </w:p>
    <w:p>
      <w:r>
        <w:rPr>
          <w:b w:val="0"/>
        </w:rPr>
        <w:t>부종 이상반응은 39건에서 43건으로, 마른기침은 21건에서 26건으로 변하였다. 직전 기간 수치는 가상이며 실제 보고서 값으로 확인한다.</w:t>
      </w:r>
    </w:p>
    <w:p>
      <w:pPr>
        <w:pStyle w:val="Heading2"/>
      </w:pPr>
      <w:r>
        <w:t>6. 추정 노출과 이익-위험 평가</w:t>
      </w:r>
    </w:p>
    <w:p>
      <w:r>
        <w:rPr>
          <w:b w:val="0"/>
          <w:color w:val="C02020"/>
        </w:rPr>
        <w:t>추정 노출 환자 수: (확인 필요 — 판매 자료가 제공되지 않음)</w:t>
      </w:r>
    </w:p>
    <w:p>
      <w:r>
        <w:rPr>
          <w:b w:val="0"/>
          <w:color w:val="C02020"/>
        </w:rPr>
        <w:t>이익-위험 결론: (담당자가 작성)</w:t>
      </w:r>
    </w:p>
    <w:p>
      <w:pPr>
        <w:pStyle w:val="Heading2"/>
      </w:pPr>
      <w:r>
        <w:t>7. 확인 필요 목록</w:t>
      </w:r>
    </w:p>
    <w:p>
      <w:r>
        <w:rPr>
          <w:b w:val="0"/>
          <w:color w:val="C02020"/>
        </w:rPr>
        <w:t>발생일 비어 있음 8건 · 발생일 앞섬 6건 · 중대 여부 미기재 7건 · 분류 확인 필요 9건 — 자세한 목록은 집계표 '확인 필요' 시트.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