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JJ바이오팜(가상) 규제대응(RA)팀 메모 — 해외 규제 변경 공지 처리 방침</w:t>
      </w:r>
    </w:p>
    <w:p>
      <w:r>
        <w:rPr>
          <w:rFonts w:ascii="맑은 고딕" w:hAnsi="맑은 고딕" w:eastAsia="맑은 고딕"/>
        </w:rPr>
        <w:t>작성: RA팀장(가상) / 수신: RA팀, 환경안전팀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1. 처리 순서</w:t>
      </w:r>
    </w:p>
    <w:p>
      <w:pPr>
        <w:pStyle w:val="ListNumber"/>
      </w:pPr>
      <w:r>
        <w:t>공지를 읽고 바뀐 점을 5줄로 요약한다. 새 물질은 이름, EC 번호, CAS 번호, 용도, 등재 이유를 표로 남긴다.</w:t>
      </w:r>
    </w:p>
    <w:p>
      <w:pPr>
        <w:pStyle w:val="ListNumber"/>
      </w:pPr>
      <w:r>
        <w:t>우리 원료 목록과 맞출 때는 이름이 아니라 CAS 번호와 EC 번호로 맞춘다. 이름은 공급사마다 다르게 쓴다.</w:t>
      </w:r>
    </w:p>
    <w:p>
      <w:pPr>
        <w:pStyle w:val="ListNumber"/>
      </w:pPr>
      <w:r>
        <w:t>번호가 한쪽만 있거나 두 번호가 서로 다른 물질을 가리키면 '확인 필요'로 따로 뺀다. 임의로 같은 물질로 보지 않는다.</w:t>
      </w:r>
    </w:p>
    <w:p>
      <w:pPr>
        <w:pStyle w:val="ListNumber"/>
      </w:pPr>
      <w:r>
        <w:t>겹친 원료가 들어가는 제품을 찾아 함량(%)과 EU 수출 여부를 적는다.</w:t>
      </w:r>
    </w:p>
    <w:p>
      <w:pPr>
        <w:pStyle w:val="ListNumber"/>
      </w:pPr>
      <w:r>
        <w:t>함량은 공지의 0.1% 기준과 견주어 본다. 원료 함량으로 어림한 값이며, 실제 성분 함량은 공급사 자료로 확인한다.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2. 우선순위</w:t>
      </w:r>
    </w:p>
    <w:p>
      <w:r>
        <w:rPr>
          <w:rFonts w:ascii="맑은 고딕" w:hAnsi="맑은 고딕" w:eastAsia="맑은 고딕"/>
        </w:rPr>
        <w:t>EU 수출 제품이면서 0.1%를 넘는 것이 1순위, 그 밖의 후보는 2순위로 둔다. 2순위도 함량 근거는 확인한다.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3. 결과를 쓰는 방식</w:t>
      </w:r>
    </w:p>
    <w:p>
      <w:r>
        <w:rPr>
          <w:rFonts w:ascii="맑은 고딕" w:hAnsi="맑은 고딕" w:eastAsia="맑은 고딕"/>
        </w:rPr>
        <w:t>모든 결과는 '후보'로 적는다. 후보 확정과 공급사 확인 요청 발송은 RA 책임자와 환경안전팀장이 한다.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4. 자료 취급</w:t>
      </w:r>
    </w:p>
    <w:p>
      <w:r>
        <w:rPr>
          <w:rFonts w:ascii="맑은 고딕" w:hAnsi="맑은 고딕" w:eastAsia="맑은 고딕"/>
        </w:rPr>
        <w:t>제품 배합비와 공급사 정보는 사내 대외비다. 사내 규정이 허용하는 도구인지 먼저 확인하고, 허용 범위 밖의 도구에는 실제 자료를 올리지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