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실제 회사와 무관</w:t>
      </w:r>
    </w:p>
    <w:p>
      <w:pPr>
        <w:pStyle w:val="Heading1"/>
      </w:pPr>
      <w:r>
        <w:t>기술변경통지서 ECN-2026-031</w:t>
      </w:r>
    </w:p>
    <w:p>
      <w:r>
        <w:t>고객: 한빛모터스(가상)</w:t>
      </w:r>
    </w:p>
    <w:p>
      <w:r>
        <w:t>품번: HM-EMB-2210</w:t>
      </w:r>
    </w:p>
    <w:p>
      <w:r>
        <w:t>도면 번호: DWG-EMB-2210</w:t>
      </w:r>
    </w:p>
    <w:p>
      <w:r>
        <w:t>변경 개정: B → C</w:t>
      </w:r>
    </w:p>
    <w:p>
      <w:r>
        <w:t>변경 내용: 장착 구멍 지름 공차 +0.05/0 → +0.03/0</w:t>
      </w:r>
    </w:p>
    <w:p>
      <w:r>
        <w:t>승인일: 2026-10-20</w:t>
      </w:r>
    </w:p>
    <w:p>
      <w:r>
        <w:t>적용 시점: 초도품부터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