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계약 검토 기준 (법무팀 메모)</w:t>
      </w:r>
    </w:p>
    <w:p>
      <w:r>
        <w:t>JJ로지스 (가상) 법무팀 · 영업팀이 화주 계약서 초안을 1차로 검토할 때 쓰는 기준입니다.</w:t>
      </w:r>
    </w:p>
    <w:p>
      <w:pPr>
        <w:pStyle w:val="Heading2"/>
      </w:pPr>
      <w:r>
        <w:t>위험 판정</w:t>
      </w:r>
    </w:p>
    <w:p>
      <w:pPr>
        <w:pStyle w:val="ListBullet"/>
      </w:pPr>
      <w:r>
        <w:t>높음: 아래 기준을 크게 넘고 금액이나 책임이 커지는 조항</w:t>
      </w:r>
    </w:p>
    <w:p>
      <w:pPr>
        <w:pStyle w:val="ListBullet"/>
      </w:pPr>
      <w:r>
        <w:t>중간: 기준과 다르지만 협의할 여지가 있는 조항</w:t>
      </w:r>
    </w:p>
    <w:p>
      <w:pPr>
        <w:pStyle w:val="ListBullet"/>
      </w:pPr>
      <w:r>
        <w:t>낮음: 기준 안이거나 일반적인 조항</w:t>
      </w:r>
    </w:p>
    <w:p>
      <w:pPr>
        <w:pStyle w:val="ListBullet"/>
      </w:pPr>
      <w:r>
        <w:t>담당 확인: 법무·재무·운영팀이 정해야 하는 조항</w:t>
      </w:r>
    </w:p>
    <w:p>
      <w:pPr>
        <w:pStyle w:val="Heading2"/>
      </w:pPr>
      <w:r>
        <w:t>항목별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기준</w:t>
            </w:r>
          </w:p>
        </w:tc>
      </w:tr>
      <w:tr>
        <w:tc>
          <w:tcPr>
            <w:tcW w:type="dxa" w:w="4320"/>
          </w:tcPr>
          <w:p>
            <w:r>
              <w:t>감액</w:t>
            </w:r>
          </w:p>
        </w:tc>
        <w:tc>
          <w:tcPr>
            <w:tcW w:type="dxa" w:w="4320"/>
          </w:tcPr>
          <w:p>
            <w:r>
              <w:t>정시 배송률 미달 감액은 그 달 운송료의 2% 이내</w:t>
            </w:r>
          </w:p>
        </w:tc>
      </w:tr>
      <w:tr>
        <w:tc>
          <w:tcPr>
            <w:tcW w:type="dxa" w:w="4320"/>
          </w:tcPr>
          <w:p>
            <w:r>
              <w:t>지연 공제</w:t>
            </w:r>
          </w:p>
        </w:tc>
        <w:tc>
          <w:tcPr>
            <w:tcW w:type="dxa" w:w="4320"/>
          </w:tcPr>
          <w:p>
            <w:r>
              <w:t>건별 공제는 해당 건 운임의 50%를 넘지 않게</w:t>
            </w:r>
          </w:p>
        </w:tc>
      </w:tr>
      <w:tr>
        <w:tc>
          <w:tcPr>
            <w:tcW w:type="dxa" w:w="4320"/>
          </w:tcPr>
          <w:p>
            <w:r>
              <w:t>유류할증</w:t>
            </w:r>
          </w:p>
        </w:tc>
        <w:tc>
          <w:tcPr>
            <w:tcW w:type="dxa" w:w="4320"/>
          </w:tcPr>
          <w:p>
            <w:r>
              <w:t>오를 때와 내릴 때 같은 비율(100%)로 반영, 공시 자료는 양사가 합의해 명시</w:t>
            </w:r>
          </w:p>
        </w:tc>
      </w:tr>
      <w:tr>
        <w:tc>
          <w:tcPr>
            <w:tcW w:type="dxa" w:w="4320"/>
          </w:tcPr>
          <w:p>
            <w:r>
              <w:t>손해배상</w:t>
            </w:r>
          </w:p>
        </w:tc>
        <w:tc>
          <w:tcPr>
            <w:tcW w:type="dxa" w:w="4320"/>
          </w:tcPr>
          <w:p>
            <w:r>
              <w:t>사고 1건당 한도 3억 원(가입한 화물 배상책임보험 기준), 간접 손해 제외</w:t>
            </w:r>
          </w:p>
        </w:tc>
      </w:tr>
      <w:tr>
        <w:tc>
          <w:tcPr>
            <w:tcW w:type="dxa" w:w="4320"/>
          </w:tcPr>
          <w:p>
            <w:r>
              <w:t>지급</w:t>
            </w:r>
          </w:p>
        </w:tc>
        <w:tc>
          <w:tcPr>
            <w:tcW w:type="dxa" w:w="4320"/>
          </w:tcPr>
          <w:p>
            <w:r>
              <w:t>월말 마감 후 45일 이내, 이의가 있는 금액만 보류</w:t>
            </w:r>
          </w:p>
        </w:tc>
      </w:tr>
      <w:tr>
        <w:tc>
          <w:tcPr>
            <w:tcW w:type="dxa" w:w="4320"/>
          </w:tcPr>
          <w:p>
            <w:r>
              <w:t>해지</w:t>
            </w:r>
          </w:p>
        </w:tc>
        <w:tc>
          <w:tcPr>
            <w:tcW w:type="dxa" w:w="4320"/>
          </w:tcPr>
          <w:p>
            <w:r>
              <w:t>쌍방 모두 90일 전 서면 통지</w:t>
            </w:r>
          </w:p>
        </w:tc>
      </w:tr>
      <w:tr>
        <w:tc>
          <w:tcPr>
            <w:tcW w:type="dxa" w:w="4320"/>
          </w:tcPr>
          <w:p>
            <w:r>
              <w:t>불가항력</w:t>
            </w:r>
          </w:p>
        </w:tc>
        <w:tc>
          <w:tcPr>
            <w:tcW w:type="dxa" w:w="4320"/>
          </w:tcPr>
          <w:p>
            <w:r>
              <w:t>폭설·태풍 등 지연은 정시 배송률 산정에서 제외</w:t>
            </w:r>
          </w:p>
        </w:tc>
      </w:tr>
      <w:tr>
        <w:tc>
          <w:tcPr>
            <w:tcW w:type="dxa" w:w="4320"/>
          </w:tcPr>
          <w:p>
            <w:r>
              <w:t>온도 기록</w:t>
            </w:r>
          </w:p>
        </w:tc>
        <w:tc>
          <w:tcPr>
            <w:tcW w:type="dxa" w:w="4320"/>
          </w:tcPr>
          <w:p>
            <w:r>
              <w:t>현재 설비는 10분 간격, 5분 간격은 운영팀 확인 전에는 약속하지 않음</w:t>
            </w:r>
          </w:p>
        </w:tc>
      </w:tr>
      <w:tr>
        <w:tc>
          <w:tcPr>
            <w:tcW w:type="dxa" w:w="4320"/>
          </w:tcPr>
          <w:p>
            <w:r>
              <w:t>물량 변동</w:t>
            </w:r>
          </w:p>
        </w:tc>
        <w:tc>
          <w:tcPr>
            <w:tcW w:type="dxa" w:w="4320"/>
          </w:tcPr>
          <w:p>
            <w:r>
              <w:t>단가 유지는 ±15%까지</w:t>
            </w:r>
          </w:p>
        </w:tc>
      </w:tr>
      <w:tr>
        <w:tc>
          <w:tcPr>
            <w:tcW w:type="dxa" w:w="4320"/>
          </w:tcPr>
          <w:p>
            <w:r>
              <w:t>원칙</w:t>
            </w:r>
          </w:p>
        </w:tc>
        <w:tc>
          <w:tcPr>
            <w:tcW w:type="dxa" w:w="4320"/>
          </w:tcPr>
          <w:p>
            <w:r>
              <w:t>법령·판례 해석은 영업팀이 하지 않고 법무가 한다. 서명은 법무 검토와 결재 뒤에</w:t>
            </w:r>
          </w:p>
        </w:tc>
      </w:tr>
    </w:tbl>
    <w:p>
      <w:pPr>
        <w:pStyle w:val="Heading2"/>
      </w:pPr>
      <w:r>
        <w:t>수정 요청 원칙</w:t>
      </w:r>
    </w:p>
    <w:p>
      <w:pPr>
        <w:pStyle w:val="ListBullet"/>
      </w:pPr>
      <w:r>
        <w:t>수정 요청은 조항 번호와 대안(숫자)을 함께 적는다.</w:t>
      </w:r>
    </w:p>
    <w:p>
      <w:pPr>
        <w:pStyle w:val="ListBullet"/>
      </w:pPr>
      <w:r>
        <w:t>계약서에 없는 내용은 짐작하지 않고 (확인 필요)로 적는다.</w:t>
      </w:r>
    </w:p>
    <w:p>
      <w:pPr>
        <w:pStyle w:val="ListBullet"/>
      </w:pPr>
      <w:r>
        <w:t>법령 조항 번호나 판례를 영업팀이 인용하지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