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제안 답변서 (초안 예시)</w:t>
      </w:r>
    </w:p>
    <w:p>
      <w:r>
        <w:t>제안자: JJ로지스 (가상) / 화주: 가온푸드 (가상)</w:t>
      </w:r>
    </w:p>
    <w:p>
      <w:pPr>
        <w:pStyle w:val="Heading3"/>
      </w:pPr>
      <w:r>
        <w:t>요구 01  서비스 범위  [RFP 1쪽, 요구 01]  (가능)</w:t>
      </w:r>
    </w:p>
    <w:p>
      <w:r>
        <w:t>수도권과 충청의 냉장·냉동 식품 보관·출고·배송을 수행합니다. 보관은 HACCP 인증 센터(이천·김포) 기준으로 제안합니다.</w:t>
      </w:r>
    </w:p>
    <w:p>
      <w:pPr>
        <w:pStyle w:val="Heading3"/>
      </w:pPr>
      <w:r>
        <w:t>요구 02  보관 용량  [RFP 2쪽, 요구 02]  (조건부)</w:t>
      </w:r>
    </w:p>
    <w:p>
      <w:r>
        <w:t>평균 물량(냉장 2,000·냉동 1,200 팔레트)은 이천·김포 가용 공간(냉장 2,400·냉동 1,400 팔레트)으로 수용합니다. 성수기 125%(냉장 2,500·냉동 1,500 팔레트)는 각각 100 팔레트가 부족하여, 추가 공간 방안은 (확인 필요: 청주 센터 여유분)으로 별도 제시하겠습니다.</w:t>
      </w:r>
    </w:p>
    <w:p>
      <w:pPr>
        <w:pStyle w:val="Heading3"/>
      </w:pPr>
      <w:r>
        <w:t>요구 03  온도 관리  [RFP 2쪽, 요구 03]  (조건부)</w:t>
      </w:r>
    </w:p>
    <w:p>
      <w:r>
        <w:t>냉장 0~5℃, 냉동 -18℃ 이하로 관리하며 온도 이탈 시 15분 안에 알려 드려 30분 기준을 충족합니다. 온도 기록은 현재 10분 간격이며, 5분 간격 변경은 (확인 필요: 설비 설정 변경 가능 여부)입니다.</w:t>
      </w:r>
    </w:p>
    <w:p>
      <w:pPr>
        <w:pStyle w:val="Heading3"/>
      </w:pPr>
      <w:r>
        <w:t>요구 04  위생 인증  [RFP 2쪽, 요구 04]  (가능)</w:t>
      </w:r>
    </w:p>
    <w:p>
      <w:r>
        <w:t>이천·김포 센터는 HACCP 인증을 보유하고 있어 해당 센터에서 보관합니다. 청주 센터는 인증 심사 중이며 일정은 (확인 필요)입니다.</w:t>
      </w:r>
    </w:p>
    <w:p>
      <w:pPr>
        <w:pStyle w:val="Heading3"/>
      </w:pPr>
      <w:r>
        <w:t>요구 05  배송 도착 시각  [RFP 3쪽, 요구 05]  (미달)</w:t>
      </w:r>
    </w:p>
    <w:p>
      <w:r>
        <w:t>충청은 익일 11시까지 도착하여 12시 기준을 충족합니다. 수도권은 현재 익일 07시 도착으로 06시 기준에 1시간 못 미치며, 06시 도착 가능 노선은 (확인 필요: 운영팀)입니다.</w:t>
      </w:r>
    </w:p>
    <w:p>
      <w:pPr>
        <w:pStyle w:val="Heading3"/>
      </w:pPr>
      <w:r>
        <w:t>요구 06  정시 배송률  [RFP 3쪽, 요구 06]  (미달)</w:t>
      </w:r>
    </w:p>
    <w:p>
      <w:r>
        <w:t>최근 12개월 정시 배송률은 97.4%로 98% 기준에 0.6%p 못 미칩니다. 개선 계획은 (확인 필요: 운영팀) 후 제시하며, 감액 조건은 산정 기준을 확인한 뒤 협의하고자 합니다.</w:t>
      </w:r>
    </w:p>
    <w:p>
      <w:pPr>
        <w:pStyle w:val="Heading3"/>
      </w:pPr>
      <w:r>
        <w:t>요구 07  재고 정확도  [RFP 3쪽, 요구 07]  (가능)</w:t>
      </w:r>
    </w:p>
    <w:p>
      <w:r>
        <w:t>최근 재고 정확도는 99.7%로 99.5% 기준을 충족합니다.</w:t>
      </w:r>
    </w:p>
    <w:p>
      <w:pPr>
        <w:pStyle w:val="Heading3"/>
      </w:pPr>
      <w:r>
        <w:t>요구 08  전산 연동  [RFP 4쪽, 요구 08]  (조건부)</w:t>
      </w:r>
    </w:p>
    <w:p>
      <w:r>
        <w:t>주문·재고 정보는 파일 교환(하루 4회) 방식으로 바로 연동할 수 있습니다. 실시간 연동은 개발이 필요하며 기간과 비용은 (확인 필요: IT팀)입니다.</w:t>
      </w:r>
    </w:p>
    <w:p>
      <w:pPr>
        <w:pStyle w:val="Heading3"/>
      </w:pPr>
      <w:r>
        <w:t>요구 09  사고 보상  [RFP 4쪽, 요구 09]  (담당 확인)</w:t>
      </w:r>
    </w:p>
    <w:p>
      <w:r>
        <w:t>(확인 필요 - 법무) 보상 범위와 한도는 계약 협의 사항으로, 영업팀이 임의로 답하지 않습니다.</w:t>
      </w:r>
    </w:p>
    <w:p>
      <w:pPr>
        <w:pStyle w:val="Heading3"/>
      </w:pPr>
      <w:r>
        <w:t>요구 10  운송료·정산  [RFP 5쪽, 요구 10]  (담당 확인)</w:t>
      </w:r>
    </w:p>
    <w:p>
      <w:r>
        <w:t>(확인 필요 - 견적팀) 운임과 유류할증 산식은 별도 가격 제안서로 제출합니다. 이 답변서에는 가격을 적지 않습니다.</w:t>
      </w:r>
    </w:p>
    <w:p>
      <w:pPr>
        <w:pStyle w:val="Heading3"/>
      </w:pPr>
      <w:r>
        <w:t>요구 11  계약 기간·물량 변동  [RFP 5쪽, 요구 11]  (조건부)</w:t>
      </w:r>
    </w:p>
    <w:p>
      <w:r>
        <w:t>계약 기간 24개월은 수용합니다. 물량 변동 시 단가 유지는 ±15% 범위까지 가능하며, ±20%는 (확인 필요: 견적팀)입니다.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