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작품·회사와 무관</w:t>
      </w:r>
    </w:p>
    <w:p>
      <w:pPr>
        <w:pStyle w:val="Heading1"/>
      </w:pPr>
      <w:r>
        <w:t>현지화팀장 메모 · 영어판 번역 원칙</w:t>
      </w:r>
    </w:p>
    <w:p>
      <w:r>
        <w:t>JJ디지털(가상) 현지화팀 / 해외 출시 회차부터 이 원칙으로 씁니다.</w:t>
      </w:r>
    </w:p>
    <w:p>
      <w:pPr>
        <w:pStyle w:val="ListNumber"/>
      </w:pPr>
      <w:r>
        <w:t>용어집에 있는 이름·장소·의성어는 용어집 표기 그대로 쓴다. 회차마다 바꾸지 않는다.</w:t>
      </w:r>
    </w:p>
    <w:p>
      <w:pPr>
        <w:pStyle w:val="ListNumber"/>
      </w:pPr>
      <w:r>
        <w:t>인물마다 말투 규칙을 지킨다. 격식체 인물은 줄임말을 쓰지 않고, 반말 인물은 줄임말을 쓴다.</w:t>
      </w:r>
    </w:p>
    <w:p>
      <w:pPr>
        <w:pStyle w:val="ListNumber"/>
      </w:pPr>
      <w:r>
        <w:t>의성어는 영어권 독자가 소리 내어 읽는 말로 옮긴다. 다른 나라 만화식 표기는 쓰지 않는다.</w:t>
      </w:r>
    </w:p>
    <w:p>
      <w:pPr>
        <w:pStyle w:val="ListNumber"/>
      </w:pPr>
      <w:r>
        <w:t>말풍선 하나는 한 줄로 쓴다. 원문에 없는 설명을 덧붙이지 않는다.</w:t>
      </w:r>
    </w:p>
    <w:p>
      <w:pPr>
        <w:pStyle w:val="ListNumber"/>
      </w:pPr>
      <w:r>
        <w:t>뜻이 두 가지로 읽히거나 문화 설명이 필요한 표현은 지어내지 말고 (확인 필요)라고 적는다.</w:t>
      </w:r>
    </w:p>
    <w:p>
      <w:pPr>
        <w:pStyle w:val="ListNumber"/>
      </w:pPr>
      <w:r>
        <w:t>최종 문장은 영어 원어민 감수와 작가 확인을 거쳐 확정한다. 시안은 확정본이 아니다.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