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위험도 기준과 조치 기한</w:t>
      </w:r>
    </w:p>
    <w:p>
      <w:r>
        <w:t>시설 안전점검 결과를 정리할 때 쓴 기준을 매장 점검에도 같이 쓴다.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/>
                <w:sz w:val="22"/>
              </w:rPr>
              <w:t>위험도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2"/>
              </w:rPr>
              <w:t>뜻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2"/>
              </w:rPr>
              <w:t>조치 기한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2"/>
              </w:rPr>
              <w:t>점수 가중치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/>
                <w:sz w:val="22"/>
              </w:rPr>
              <w:t>상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2"/>
              </w:rPr>
              <w:t>이용객·직원 안전이나 식중독으로 바로 이어질 수 있음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2"/>
              </w:rPr>
              <w:t>당일 (필요하면 해당 구역 사용 중지 검토)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2"/>
              </w:rPr>
              <w:t>3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/>
                <w:sz w:val="22"/>
              </w:rPr>
              <w:t>중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2"/>
              </w:rPr>
              <w:t>그대로 두면 문제가 될 수 있음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2"/>
              </w:rPr>
              <w:t>7일 이내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2"/>
              </w:rPr>
              <w:t>2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/>
                <w:sz w:val="22"/>
              </w:rPr>
              <w:t>하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2"/>
              </w:rPr>
              <w:t>불편·미관 문제, 당장 위험은 작음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2"/>
              </w:rPr>
              <w:t>30일 이내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/>
                <w:sz w:val="22"/>
              </w:rPr>
              <w:t>1</w:t>
            </w:r>
          </w:p>
        </w:tc>
      </w:tr>
    </w:tbl>
    <w:p/>
    <w:p>
      <w:r>
        <w:t>점검 항목별 위험도는 «앞업무결과_매장점검표양식» 파일에 있다. 조치 기한은 개선 요청서 발송일부터 센다.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