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정기 안전성 보고서(PSUR) · 집계·본문 부분 초안</w:t>
      </w:r>
    </w:p>
    <w:p>
      <w:pPr>
        <w:pStyle w:val="Heading1"/>
      </w:pPr>
      <w:r>
        <w:t>1. 문서 상태와 범위</w:t>
      </w:r>
    </w:p>
    <w:p>
      <w:r>
        <w:t>JJ바이오팜 PV팀의 가상 품목 가온정 관련 PSUR 집계·안전성 자료 요약 부분 초안이다. 교육용 신규 사례만 포함하며 전체 제출 문서가 아니다. 품목 허가권자·위탁 범위·제출 지역·제출 일정은 (확인 필요).</w:t>
      </w:r>
    </w:p>
    <w:p>
      <w:pPr>
        <w:pStyle w:val="Heading1"/>
      </w:pPr>
      <w:r>
        <w:t>2. 보고기간과 자료 처리</w:t>
      </w:r>
    </w:p>
    <w:p>
      <w:r>
        <w:t>보고기간은 2026-01-01~2026-06-30(양끝 포함), 자료잠금일은 2026-06-30이다. 교육용 최초접수일 기준으로 원본 336행 중 완전히 동일한 복사 중복 12행과 기간 밖 24행을 분리하였다. 집계 대상은 280사례에서 보고된 300증상이다. 동일 사례에서 여러 증상이 보고될 수 있으므로 두 수는 다르다.</w:t>
      </w:r>
    </w:p>
    <w:p>
      <w:r>
        <w:br w:type="page"/>
      </w:r>
    </w:p>
    <w:p>
      <w:pPr>
        <w:pStyle w:val="Heading1"/>
      </w:pPr>
      <w:r>
        <w:t>3. 증상·중증도별 요약</w:t>
      </w:r>
    </w:p>
    <w:p>
      <w:r>
        <w:t>오심 90건, 두통 72건, 발진 54건, 어지러움 36건, 설사 30건, ALT 증가 18건으로 총 300건이다. 중증도는 경증 165건, 중등증 93건, 중증 36건, 확인 필요 6건이다. 확인 필요 6건은 분모에서 제외하지 않았다. 오심은 이 자료에서 보고된 증상 300건 중 30.0%이다. 이는 투여자 중 발생률이 아니다.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증상</w:t>
            </w:r>
          </w:p>
        </w:tc>
        <w:tc>
          <w:tcPr>
            <w:tcW w:type="dxa" w:w="1440"/>
          </w:tcPr>
          <w:p>
            <w:r>
              <w:t>경증</w:t>
            </w:r>
          </w:p>
        </w:tc>
        <w:tc>
          <w:tcPr>
            <w:tcW w:type="dxa" w:w="1440"/>
          </w:tcPr>
          <w:p>
            <w:r>
              <w:t>중등증</w:t>
            </w:r>
          </w:p>
        </w:tc>
        <w:tc>
          <w:tcPr>
            <w:tcW w:type="dxa" w:w="1440"/>
          </w:tcPr>
          <w:p>
            <w:r>
              <w:t>중증</w:t>
            </w:r>
          </w:p>
        </w:tc>
        <w:tc>
          <w:tcPr>
            <w:tcW w:type="dxa" w:w="1440"/>
          </w:tcPr>
          <w:p>
            <w:r>
              <w:t>확인 필요</w:t>
            </w:r>
          </w:p>
        </w:tc>
        <w:tc>
          <w:tcPr>
            <w:tcW w:type="dxa" w:w="1440"/>
          </w:tcPr>
          <w:p>
            <w:r>
              <w:t>합계</w:t>
            </w:r>
          </w:p>
        </w:tc>
      </w:tr>
      <w:tr>
        <w:tc>
          <w:tcPr>
            <w:tcW w:type="dxa" w:w="1440"/>
          </w:tcPr>
          <w:p>
            <w:r>
              <w:t>오심</w:t>
            </w:r>
          </w:p>
        </w:tc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90</w:t>
            </w:r>
          </w:p>
        </w:tc>
      </w:tr>
      <w:tr>
        <w:tc>
          <w:tcPr>
            <w:tcW w:type="dxa" w:w="1440"/>
          </w:tcPr>
          <w:p>
            <w:r>
              <w:t>두통</w:t>
            </w:r>
          </w:p>
        </w:tc>
        <w:tc>
          <w:tcPr>
            <w:tcW w:type="dxa" w:w="1440"/>
          </w:tcPr>
          <w:p>
            <w:r>
              <w:t>42</w:t>
            </w:r>
          </w:p>
        </w:tc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72</w:t>
            </w:r>
          </w:p>
        </w:tc>
      </w:tr>
      <w:tr>
        <w:tc>
          <w:tcPr>
            <w:tcW w:type="dxa" w:w="1440"/>
          </w:tcPr>
          <w:p>
            <w:r>
              <w:t>발진</w:t>
            </w:r>
          </w:p>
        </w:tc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54</w:t>
            </w:r>
          </w:p>
        </w:tc>
      </w:tr>
      <w:tr>
        <w:tc>
          <w:tcPr>
            <w:tcW w:type="dxa" w:w="1440"/>
          </w:tcPr>
          <w:p>
            <w:r>
              <w:t>어지러움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36</w:t>
            </w:r>
          </w:p>
        </w:tc>
      </w:tr>
      <w:tr>
        <w:tc>
          <w:tcPr>
            <w:tcW w:type="dxa" w:w="1440"/>
          </w:tcPr>
          <w:p>
            <w:r>
              <w:t>설사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30</w:t>
            </w:r>
          </w:p>
        </w:tc>
      </w:tr>
      <w:tr>
        <w:tc>
          <w:tcPr>
            <w:tcW w:type="dxa" w:w="1440"/>
          </w:tcPr>
          <w:p>
            <w:r>
              <w:t>ALT 증가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18</w:t>
            </w:r>
          </w:p>
        </w:tc>
      </w:tr>
      <w:tr>
        <w:tc>
          <w:tcPr>
            <w:tcW w:type="dxa" w:w="1440"/>
          </w:tcPr>
          <w:p>
            <w:r>
              <w:t>합계</w:t>
            </w:r>
          </w:p>
        </w:tc>
        <w:tc>
          <w:tcPr>
            <w:tcW w:type="dxa" w:w="1440"/>
          </w:tcPr>
          <w:p>
            <w:r>
              <w:t>165</w:t>
            </w:r>
          </w:p>
        </w:tc>
        <w:tc>
          <w:tcPr>
            <w:tcW w:type="dxa" w:w="1440"/>
          </w:tcPr>
          <w:p>
            <w:r>
              <w:t>93</w:t>
            </w:r>
          </w:p>
        </w:tc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300</w:t>
            </w:r>
          </w:p>
        </w:tc>
      </w:tr>
    </w:tbl>
    <w:p>
      <w:pPr>
        <w:pStyle w:val="Heading1"/>
      </w:pPr>
      <w:r>
        <w:t>4. 사례 단위 중대성</w:t>
      </w:r>
    </w:p>
    <w:p>
      <w:r>
        <w:t>원자료의 사례 단위 중대성 판정을 유지하였다. 280사례 중 중대 28사례, 비중대 252사례이다. 중대 사례에서 보고된 증상은 48건이며, 이 숫자는 중대 사례 수나 중증 증상 36건과 다른 단위이다. 중대성·인과관계·신호 평가는 의학 검토자가 확정한다.</w:t>
      </w:r>
    </w:p>
    <w:p>
      <w:r>
        <w:br w:type="page"/>
      </w:r>
    </w:p>
    <w:p>
      <w:pPr>
        <w:pStyle w:val="Heading1"/>
      </w:pPr>
      <w:r>
        <w:t>5. 확인 필요 사항과 해석 한계</w:t>
      </w:r>
    </w:p>
    <w:p>
      <w:r>
        <w:t>발진 3건과 ALT 증가 3건의 중증도가 비어 있어 확인 필요로 분리하였다. 원자료·집계 칸의 연결은 완성참고_PSUR집계표의 원본추적과 확인목록을 참조한다. 투여 인원·노출 기간·이전 기간 비교·누적 자료가 없으므로 발생률이나 증가 추세를 계산할 수 없다. 인과관계·새로운 위해성·제품의 안전함을 이 집계만으로 단정하지 않는다.</w:t>
      </w:r>
    </w:p>
    <w:p>
      <w:pPr>
        <w:pStyle w:val="Heading1"/>
      </w:pPr>
      <w:r>
        <w:t>6. 추가로 필요한 PSUR 내용</w:t>
      </w:r>
    </w:p>
    <w:p>
      <w:r>
        <w:t>누적 임상·시판 후 집계, 세계 허가 현황, 안전성 조치·제품정보 변경, 노출 자료, 임상시험·문헌 요약, 신호 및 위해성 평가, 유익성 평가와 통합 유익성-위해성 분석, 결론·조치·지역별 부록은 (확인 필요). 실제 제출 양식·기한은 담당자가 해당 품목·지역의 적용 기준으로 확인한다.</w:t>
      </w:r>
    </w:p>
    <w:p>
      <w:pPr>
        <w:pStyle w:val="Heading1"/>
      </w:pPr>
      <w:r>
        <w:t>7. 검토와 확정</w:t>
      </w:r>
    </w:p>
    <w:p>
      <w:r>
        <w:t>PV 담당자: 원자료·집계·초안 수치 대조 (미확정). 의학 검토자: 중대성·인과관계·신호·유익성-위해성 판단 (미확정). 책임자: 범위·제출요건·서명 확정 (미확정). 최종 판단·확정은 담당자에게 있다. 이 초안을 외부 제출하지 않는다.</w:t>
      </w:r>
    </w:p>
    <w:p>
      <w:r>
        <w:t>근거 확인: https://www.ema.europa.eu/en/human-regulatory-overview/post-authorisation/pharmacovigilance-post-authorisation/periodic-safety-update-reports-psurs</w:t>
        <w:br/>
        <w:t>https://www.cognizant.com/uk/en/insights/blog/articles/generative-ai-in-clinical-operations-transforming-post-market-surveillance</w:t>
        <w:br/>
        <w:t>https://database.ich.org/sites/default/files/E2A_Guideline.pdf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부분 초안 · 외부 제출 금지 · 담당자 확정 전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· JJ바이오팜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