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QA 집계 기준 · 교육용</w:t>
      </w:r>
    </w:p>
    <w:p>
      <w:r>
        <w:t>교육 영상 시연용 가상 자료 · JJ바이오팜</w:t>
      </w:r>
    </w:p>
    <w:p>
      <w:pPr>
        <w:pStyle w:val="Heading1"/>
      </w:pPr>
      <w:r>
        <w:t>분석 범위</w:t>
      </w:r>
    </w:p>
    <w:p>
      <w:r>
        <w:t>2026-01-01~2026-06-30 발생 일탈. 기준일 2026-06-30. JJ바이오팜 원료·소재 공정. 교육 자료에서는 이 기간의 전체 일탈이 수록된 것으로 설정한다.</w:t>
      </w:r>
    </w:p>
    <w:p>
      <w:pPr>
        <w:pStyle w:val="Heading1"/>
      </w:pPr>
      <w:r>
        <w:t>원본 보호</w:t>
      </w:r>
    </w:p>
    <w:p>
      <w:r>
        <w:t>원본 5개를 고치지 않는다. 결과는 새 파일로 저장한다. 원본 행 번호와 제외 사유를 남긴다.</w:t>
      </w:r>
    </w:p>
    <w:p>
      <w:pPr>
        <w:pStyle w:val="Heading1"/>
      </w:pPr>
      <w:r>
        <w:t>중복</w:t>
      </w:r>
    </w:p>
    <w:p>
      <w:r>
        <w:t>두 대장의 일탈번호와 나머지 모든 업무 칸이 같은 완전 중복만 1행을 제외한다. 같은 번호라도 값이 다르면 충돌로 보류한다. 원본 행은 삭제하지 않는다.</w:t>
      </w:r>
    </w:p>
    <w:p>
      <w:pPr>
        <w:pStyle w:val="Heading1"/>
      </w:pPr>
      <w:r>
        <w:t>원인 확정</w:t>
      </w:r>
    </w:p>
    <w:p>
      <w:r>
        <w:t>원인확정상태가 확정이고 원인근거번호·조사결론이 있는 기록만 분류한다. 빈칸·작업 실수 같은 미확정 표현은 확인 필요다. 조사보고서 6건은 해당 번호를 보완하는 자료이며 대장에 추가하는 별도 일탈이 아니다.</w:t>
      </w:r>
    </w:p>
    <w:p>
      <w:pPr>
        <w:pStyle w:val="Heading1"/>
      </w:pPr>
      <w:r>
        <w:t>재발</w:t>
      </w:r>
    </w:p>
    <w:p>
      <w:r>
        <w:t>분석기간 안에서 발생일 순으로 같은 공정·설비·확정 원인근거번호의 직전 일탈 다음 1~90일 이내 후속 일탈을 1건 센다. 최초 일탈은 세지 않는다. 같은 날은 순서를 확정하지 않고 보류한다. 직전 일탈이 90일을 넘으면 별도 발생이다. 기간 이전 이력은 없어 기간 밖 재발은 판단하지 않는다.</w:t>
      </w:r>
    </w:p>
    <w:p>
      <w:pPr>
        <w:pStyle w:val="Heading1"/>
      </w:pPr>
      <w:r>
        <w:t>표의 의미</w:t>
      </w:r>
    </w:p>
    <w:p>
      <w:r>
        <w:t>원인 유형별 총건수와 재발 후속 건수를 구분한다. 같은 유형이 많다는 이유만으로 재발로 세지 않는다. 재발률 분모는 분류 가능 일탈 건수이며 미확정은 따로 표시한다. 생산량·제조 건수에 따른 위험 비교는 아니다.</w:t>
      </w:r>
    </w:p>
    <w:p>
      <w:pPr>
        <w:pStyle w:val="Heading1"/>
      </w:pPr>
      <w:r>
        <w:t>CAPA 연결</w:t>
      </w:r>
    </w:p>
    <w:p>
      <w:r>
        <w:t>CAPA대장의 원일탈을 일탈번호로 연결한다. 실제완료일 다음 날부터 90일까지 같은 범위·확정 원인의 모든 후속 일탈을 확인한다. 재발 연결표 한 쌍만 보지 않고 전체 이력을 확인한다.</w:t>
      </w:r>
    </w:p>
    <w:p>
      <w:pPr>
        <w:pStyle w:val="Heading1"/>
      </w:pPr>
      <w:r>
        <w:t>효과 구분</w:t>
      </w:r>
    </w:p>
    <w:p>
      <w:r>
        <w:t>완료 전 발생은 완료 후 재발로 세지 않는다. 완료일 누락은 날짜 확인 필요, 진행 중은 미완료로 둔다. 90일 관찰이 끝나지 않으면 관찰 중이다. 완료 후 관찰 안에 재발이 있으면 효과 부족 후보로 두고 QA가 확정한다. 완료 후 같은 날 발생은 선후 확인 필요다.</w:t>
      </w:r>
    </w:p>
    <w:p>
      <w:pPr>
        <w:pStyle w:val="Heading1"/>
      </w:pPr>
      <w:r>
        <w:t>무재발</w:t>
      </w:r>
    </w:p>
    <w:p>
      <w:r>
        <w:t>완료 후 90일을 모두 관찰해 재발이 없으면 관찰 내 무재발이다. 이 사실만으로 효과 입증·영구 해결이라고 쓰지 않는다. 실제 운영에서는 발생 기회와 누락 기록도 확인한다.</w:t>
      </w:r>
    </w:p>
    <w:p>
      <w:pPr>
        <w:pStyle w:val="Heading1"/>
      </w:pPr>
      <w:r>
        <w:t>교육용 기준</w:t>
      </w:r>
    </w:p>
    <w:p>
      <w:r>
        <w:t>90일과 분류 기준은 실습용이다. 법정 기간·회사 승인 기준이라는 뜻이 아니다. 실제 기준은 회사 절차와 품질 위험에 맞춰 QA가 승인한다.</w:t>
      </w:r>
    </w:p>
    <w:p>
      <w:pPr>
        <w:pStyle w:val="Heading1"/>
      </w:pPr>
      <w:r>
        <w:t>기대 검산</w:t>
      </w:r>
    </w:p>
    <w:p>
      <w:r>
        <w:t>원본 306행 − 완전 중복 6행 = 일탈 300건. 분류 가능 288건 + 미확정 12건. 재발 후속 54건 / 288건 = 18.75%. CAPA 60건 = 효과 부족 후보 12 + 관찰 내 무재발 28 + 관찰 중 6 + 날짜 확인 필요 6 + 미완료 8.</w:t>
      </w:r>
    </w:p>
    <w:p>
      <w:pPr>
        <w:pStyle w:val="Heading1"/>
      </w:pPr>
      <w:r>
        <w:t>원문 근거</w:t>
      </w:r>
    </w:p>
    <w:p>
      <w:r>
        <w:t>McKinsey, 2025-01-28, Gen AI: A game changer for biopharma operations. 일탈의 15~20% 재발과 과거 기록을 활용한 유사 일탈·CAPA 검토를 설명한다. 위 가상 수치의 출처가 아니며 이 강의의 효과를 보장하지 않는다. https://www.mckinsey.com/industries/life-sciences/our-insights/gen-ai-a-game-changer-for-biopharma-operations</w:t>
      </w:r>
    </w:p>
    <w:p>
      <w:pPr>
        <w:pStyle w:val="Heading1"/>
      </w:pPr>
      <w:r>
        <w:t>보안</w:t>
      </w:r>
    </w:p>
    <w:p>
      <w:r>
        <w:t>사내망·보안 규정이 허용하는 도구인지 먼저 확인. 외부 저장·전송과 권한 범위를 확인. 실제 제조번호·배합·시험값·이름·연락처 등은 회사 규정에 따라 가리거나 가명 처리. 이 실습은 가상 자료만 사용한다.</w:t>
      </w:r>
    </w:p>
    <w:p>
      <w:pPr>
        <w:pStyle w:val="Heading1"/>
      </w:pPr>
      <w:r>
        <w:t>원인 표기 통일표</w:t>
      </w:r>
    </w:p>
    <w:p>
      <w:r>
        <w:t>세척조건 미준수 / 세척 조건 미준수 / 세척시간 미준수 → 세척조건 미준수</w:t>
      </w:r>
    </w:p>
    <w:p>
      <w:r>
        <w:t>밀봉부 점검 누락 / 씰 점검 누락 / 밀봉부점검누락 → 밀봉부 점검 누락</w:t>
      </w:r>
    </w:p>
    <w:p>
      <w:r>
        <w:t>절차서 확인 누락 / 절차 확인 누락 / 절차서확인 누락 → 절차서 확인 누락</w:t>
      </w:r>
    </w:p>
    <w:p>
      <w:r>
        <w:t>칭량 확인 누락 / 칭량확인누락 / 칭량 이중확인 누락 → 칭량 확인 누락</w:t>
      </w:r>
    </w:p>
    <w:p>
      <w:r>
        <w:t>보관조건 점검 누락 / 보관 조건 점검 누락 / 보관조건점검누락 → 보관조건 점검 누락</w:t>
      </w:r>
    </w:p>
    <w:p>
      <w:r>
        <w:t>기록 전사 오류 / 전사 오류 / 기록 옮김 오류 → 기록 전사 오류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