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CTD 품질 요약 · 검토 초안</w:t>
      </w:r>
    </w:p>
    <w:p>
      <w:r>
        <w:t>JJ원료-A / JJ바이오팜 / v0.1 / 2026-11-06 / 교육용 결과 예시 · 미승인</w:t>
      </w:r>
    </w:p>
    <w:p>
      <w:r>
        <w:t>일부 섹션만 작성한 연습 자료. 실제 제출용 아님. 안정성 자료는 미승인 중간본이다. 모든 %는 원문의 정의를 따르며 서로 다른 시험 항목을 합산하지 않는다.</w:t>
      </w:r>
    </w:p>
    <w:p>
      <w:pPr>
        <w:pStyle w:val="Heading1"/>
      </w:pPr>
      <w:r>
        <w:t>2.3.S.4 원료의약품의 관리</w:t>
      </w:r>
    </w:p>
    <w:p>
      <w:r>
        <w:t>JJ원료-A의 출하 3배치 함량은 99.4~99.6 %, 총 불순물은 0.12~0.15 %, 수분은 0.21~0.25 %였다. 세 발췌 항목은 각 배치 모두 가상 사내 기준 이내이다. [QC-JJ-2601 v1.0, p.2·4]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항목</w:t>
            </w:r>
          </w:p>
        </w:tc>
        <w:tc>
          <w:tcPr>
            <w:tcW w:type="dxa" w:w="2880"/>
          </w:tcPr>
          <w:p>
            <w:r>
              <w:t>교육용 기준</w:t>
            </w:r>
          </w:p>
        </w:tc>
        <w:tc>
          <w:tcPr>
            <w:tcW w:type="dxa" w:w="2880"/>
          </w:tcPr>
          <w:p>
            <w:r>
              <w:t>방법</w:t>
            </w:r>
          </w:p>
        </w:tc>
      </w:tr>
      <w:tr>
        <w:tc>
          <w:tcPr>
            <w:tcW w:type="dxa" w:w="2880"/>
          </w:tcPr>
          <w:p>
            <w:r>
              <w:t>함량</w:t>
            </w:r>
          </w:p>
        </w:tc>
        <w:tc>
          <w:tcPr>
            <w:tcW w:type="dxa" w:w="2880"/>
          </w:tcPr>
          <w:p>
            <w:r>
              <w:t>98.0~102.0 %</w:t>
            </w:r>
          </w:p>
        </w:tc>
        <w:tc>
          <w:tcPr>
            <w:tcW w:type="dxa" w:w="2880"/>
          </w:tcPr>
          <w:p>
            <w:r>
              <w:t>액체크로마토그래피</w:t>
            </w:r>
          </w:p>
        </w:tc>
      </w:tr>
      <w:tr>
        <w:tc>
          <w:tcPr>
            <w:tcW w:type="dxa" w:w="2880"/>
          </w:tcPr>
          <w:p>
            <w:r>
              <w:t>총 불순물</w:t>
            </w:r>
          </w:p>
        </w:tc>
        <w:tc>
          <w:tcPr>
            <w:tcW w:type="dxa" w:w="2880"/>
          </w:tcPr>
          <w:p>
            <w:r>
              <w:t>0.50 % 이하</w:t>
            </w:r>
          </w:p>
        </w:tc>
        <w:tc>
          <w:tcPr>
            <w:tcW w:type="dxa" w:w="2880"/>
          </w:tcPr>
          <w:p>
            <w:r>
              <w:t>액체크로마토그래피</w:t>
            </w:r>
          </w:p>
        </w:tc>
      </w:tr>
      <w:tr>
        <w:tc>
          <w:tcPr>
            <w:tcW w:type="dxa" w:w="2880"/>
          </w:tcPr>
          <w:p>
            <w:r>
              <w:t>수분</w:t>
            </w:r>
          </w:p>
        </w:tc>
        <w:tc>
          <w:tcPr>
            <w:tcW w:type="dxa" w:w="2880"/>
          </w:tcPr>
          <w:p>
            <w:r>
              <w:t>0.50 % 이하</w:t>
            </w:r>
          </w:p>
        </w:tc>
        <w:tc>
          <w:tcPr>
            <w:tcW w:type="dxa" w:w="2880"/>
          </w:tcPr>
          <w:p>
            <w:r>
              <w:t>칼피셔법</w:t>
            </w:r>
          </w:p>
        </w:tc>
      </w:tr>
    </w:tbl>
    <w:p>
      <w:r>
        <w:t>출처: QC-JJ-2601 v1.0 p.2~3. 방법 AM-JJA-01 v1.0(함량·총 불순물), AM-JJA-02 v1.0(수분). 규격 설정 및 검증 보고서 근거는 (확인 필요).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배치</w:t>
            </w:r>
          </w:p>
        </w:tc>
        <w:tc>
          <w:tcPr>
            <w:tcW w:type="dxa" w:w="2160"/>
          </w:tcPr>
          <w:p>
            <w:r>
              <w:t>함량(%)</w:t>
            </w:r>
          </w:p>
        </w:tc>
        <w:tc>
          <w:tcPr>
            <w:tcW w:type="dxa" w:w="2160"/>
          </w:tcPr>
          <w:p>
            <w:r>
              <w:t>총 불순물(%)</w:t>
            </w:r>
          </w:p>
        </w:tc>
        <w:tc>
          <w:tcPr>
            <w:tcW w:type="dxa" w:w="2160"/>
          </w:tcPr>
          <w:p>
            <w:r>
              <w:t>수분(%)</w:t>
            </w:r>
          </w:p>
        </w:tc>
      </w:tr>
      <w:tr>
        <w:tc>
          <w:tcPr>
            <w:tcW w:type="dxa" w:w="2160"/>
          </w:tcPr>
          <w:p>
            <w:r>
              <w:t>JJA2601</w:t>
            </w:r>
          </w:p>
        </w:tc>
        <w:tc>
          <w:tcPr>
            <w:tcW w:type="dxa" w:w="2160"/>
          </w:tcPr>
          <w:p>
            <w:r>
              <w:t>99.6</w:t>
            </w:r>
          </w:p>
        </w:tc>
        <w:tc>
          <w:tcPr>
            <w:tcW w:type="dxa" w:w="2160"/>
          </w:tcPr>
          <w:p>
            <w:r>
              <w:t>0.12</w:t>
            </w:r>
          </w:p>
        </w:tc>
        <w:tc>
          <w:tcPr>
            <w:tcW w:type="dxa" w:w="2160"/>
          </w:tcPr>
          <w:p>
            <w:r>
              <w:t>0.21</w:t>
            </w:r>
          </w:p>
        </w:tc>
      </w:tr>
      <w:tr>
        <w:tc>
          <w:tcPr>
            <w:tcW w:type="dxa" w:w="2160"/>
          </w:tcPr>
          <w:p>
            <w:r>
              <w:t>JJA2602</w:t>
            </w:r>
          </w:p>
        </w:tc>
        <w:tc>
          <w:tcPr>
            <w:tcW w:type="dxa" w:w="2160"/>
          </w:tcPr>
          <w:p>
            <w:r>
              <w:t>99.4</w:t>
            </w:r>
          </w:p>
        </w:tc>
        <w:tc>
          <w:tcPr>
            <w:tcW w:type="dxa" w:w="2160"/>
          </w:tcPr>
          <w:p>
            <w:r>
              <w:t>0.15</w:t>
            </w:r>
          </w:p>
        </w:tc>
        <w:tc>
          <w:tcPr>
            <w:tcW w:type="dxa" w:w="2160"/>
          </w:tcPr>
          <w:p>
            <w:r>
              <w:t>0.25</w:t>
            </w:r>
          </w:p>
        </w:tc>
      </w:tr>
      <w:tr>
        <w:tc>
          <w:tcPr>
            <w:tcW w:type="dxa" w:w="2160"/>
          </w:tcPr>
          <w:p>
            <w:r>
              <w:t>JJA2603</w:t>
            </w:r>
          </w:p>
        </w:tc>
        <w:tc>
          <w:tcPr>
            <w:tcW w:type="dxa" w:w="2160"/>
          </w:tcPr>
          <w:p>
            <w:r>
              <w:t>99.5</w:t>
            </w:r>
          </w:p>
        </w:tc>
        <w:tc>
          <w:tcPr>
            <w:tcW w:type="dxa" w:w="2160"/>
          </w:tcPr>
          <w:p>
            <w:r>
              <w:t>0.13</w:t>
            </w:r>
          </w:p>
        </w:tc>
        <w:tc>
          <w:tcPr>
            <w:tcW w:type="dxa" w:w="2160"/>
          </w:tcPr>
          <w:p>
            <w:r>
              <w:t>0.23</w:t>
            </w:r>
          </w:p>
        </w:tc>
      </w:tr>
    </w:tbl>
    <w:p>
      <w:r>
        <w:t>배치 표 출처: QC-JJ-2601 v1.0 p.4. 평균 함량 (99.6+99.4+99.5)/3=99.5 %. 평균은 보조값이며 개별 배치 판단을 대신하지 않는다.</w:t>
      </w:r>
    </w:p>
    <w:p>
      <w:r>
        <w:t>불순물 B의 N/D 표기는 그대로 보존한다. 0으로 바꿀 수 없고 검출·정량한계는 (확인 필요). [QC-JJ-2601 v1.0, p.5]</w:t>
      </w:r>
    </w:p>
    <w:p>
      <w:r>
        <w:br w:type="page"/>
      </w:r>
    </w:p>
    <w:p>
      <w:pPr>
        <w:pStyle w:val="Heading1"/>
      </w:pPr>
      <w:r>
        <w:t>2.3.S.7 안정성</w:t>
      </w:r>
    </w:p>
    <w:p>
      <w:r>
        <w:t>JJA2601을 장기 25±2 ℃ / 60±5 %RH와 가속 40±2 ℃ / 75±5 %RH에서 0·3·6개월 관찰했다. 포장은 이중 폴리에틸렌 내포장·밀봉 용기이다. [ST-JJ-2602 v0.3, p.1~2]</w:t>
      </w:r>
    </w:p>
    <w:p>
      <w:r>
        <w:t>시험방법·기준은 QC-JJ-2601 v1.0 p.2~3을 참조한다. [ST-JJ-2602 v0.3, p.2]</w:t>
      </w:r>
    </w:p>
    <w:p>
      <w:pPr>
        <w:pStyle w:val="Heading2"/>
      </w:pPr>
      <w:r>
        <w:t>장기 · JJA2601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시점(개월)</w:t>
            </w:r>
          </w:p>
        </w:tc>
        <w:tc>
          <w:tcPr>
            <w:tcW w:type="dxa" w:w="2160"/>
          </w:tcPr>
          <w:p>
            <w:r>
              <w:t>함량(%)</w:t>
            </w:r>
          </w:p>
        </w:tc>
        <w:tc>
          <w:tcPr>
            <w:tcW w:type="dxa" w:w="2160"/>
          </w:tcPr>
          <w:p>
            <w:r>
              <w:t>총 불순물(%)</w:t>
            </w:r>
          </w:p>
        </w:tc>
        <w:tc>
          <w:tcPr>
            <w:tcW w:type="dxa" w:w="2160"/>
          </w:tcPr>
          <w:p>
            <w:r>
              <w:t>수분(%)</w:t>
            </w:r>
          </w:p>
        </w:tc>
      </w:tr>
      <w:tr>
        <w:tc>
          <w:tcPr>
            <w:tcW w:type="dxa" w:w="2160"/>
          </w:tcPr>
          <w:p>
            <w:r>
              <w:t>0</w:t>
            </w:r>
          </w:p>
        </w:tc>
        <w:tc>
          <w:tcPr>
            <w:tcW w:type="dxa" w:w="2160"/>
          </w:tcPr>
          <w:p>
            <w:r>
              <w:t>99.6</w:t>
            </w:r>
          </w:p>
        </w:tc>
        <w:tc>
          <w:tcPr>
            <w:tcW w:type="dxa" w:w="2160"/>
          </w:tcPr>
          <w:p>
            <w:r>
              <w:t>0.12</w:t>
            </w:r>
          </w:p>
        </w:tc>
        <w:tc>
          <w:tcPr>
            <w:tcW w:type="dxa" w:w="2160"/>
          </w:tcPr>
          <w:p>
            <w:r>
              <w:t>0.21</w:t>
            </w:r>
          </w:p>
        </w:tc>
      </w:tr>
      <w:tr>
        <w:tc>
          <w:tcPr>
            <w:tcW w:type="dxa" w:w="2160"/>
          </w:tcPr>
          <w:p>
            <w:r>
              <w:t>3</w:t>
            </w:r>
          </w:p>
        </w:tc>
        <w:tc>
          <w:tcPr>
            <w:tcW w:type="dxa" w:w="2160"/>
          </w:tcPr>
          <w:p>
            <w:r>
              <w:t>99.3</w:t>
            </w:r>
          </w:p>
        </w:tc>
        <w:tc>
          <w:tcPr>
            <w:tcW w:type="dxa" w:w="2160"/>
          </w:tcPr>
          <w:p>
            <w:r>
              <w:t>0.16</w:t>
            </w:r>
          </w:p>
        </w:tc>
        <w:tc>
          <w:tcPr>
            <w:tcW w:type="dxa" w:w="2160"/>
          </w:tcPr>
          <w:p>
            <w:r>
              <w:t>0.24</w:t>
            </w:r>
          </w:p>
        </w:tc>
      </w:tr>
      <w:tr>
        <w:tc>
          <w:tcPr>
            <w:tcW w:type="dxa" w:w="2160"/>
          </w:tcPr>
          <w:p>
            <w:r>
              <w:t>6</w:t>
            </w:r>
          </w:p>
        </w:tc>
        <w:tc>
          <w:tcPr>
            <w:tcW w:type="dxa" w:w="2160"/>
          </w:tcPr>
          <w:p>
            <w:r>
              <w:t>99.1</w:t>
            </w:r>
          </w:p>
        </w:tc>
        <w:tc>
          <w:tcPr>
            <w:tcW w:type="dxa" w:w="2160"/>
          </w:tcPr>
          <w:p>
            <w:r>
              <w:t>0.19</w:t>
            </w:r>
          </w:p>
        </w:tc>
        <w:tc>
          <w:tcPr>
            <w:tcW w:type="dxa" w:w="2160"/>
          </w:tcPr>
          <w:p>
            <w:r>
              <w:t>0.27</w:t>
            </w:r>
          </w:p>
        </w:tc>
      </w:tr>
    </w:tbl>
    <w:p>
      <w:r>
        <w:t>출처: ST-JJ-2602 v0.3 p.3 (미승인).</w:t>
      </w:r>
    </w:p>
    <w:p>
      <w:pPr>
        <w:pStyle w:val="Heading2"/>
      </w:pPr>
      <w:r>
        <w:t>가속 · JJA2601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시점(개월)</w:t>
            </w:r>
          </w:p>
        </w:tc>
        <w:tc>
          <w:tcPr>
            <w:tcW w:type="dxa" w:w="2160"/>
          </w:tcPr>
          <w:p>
            <w:r>
              <w:t>함량(%)</w:t>
            </w:r>
          </w:p>
        </w:tc>
        <w:tc>
          <w:tcPr>
            <w:tcW w:type="dxa" w:w="2160"/>
          </w:tcPr>
          <w:p>
            <w:r>
              <w:t>총 불순물(%)</w:t>
            </w:r>
          </w:p>
        </w:tc>
        <w:tc>
          <w:tcPr>
            <w:tcW w:type="dxa" w:w="2160"/>
          </w:tcPr>
          <w:p>
            <w:r>
              <w:t>수분(%)</w:t>
            </w:r>
          </w:p>
        </w:tc>
      </w:tr>
      <w:tr>
        <w:tc>
          <w:tcPr>
            <w:tcW w:type="dxa" w:w="2160"/>
          </w:tcPr>
          <w:p>
            <w:r>
              <w:t>0</w:t>
            </w:r>
          </w:p>
        </w:tc>
        <w:tc>
          <w:tcPr>
            <w:tcW w:type="dxa" w:w="2160"/>
          </w:tcPr>
          <w:p>
            <w:r>
              <w:t>99.6</w:t>
            </w:r>
          </w:p>
        </w:tc>
        <w:tc>
          <w:tcPr>
            <w:tcW w:type="dxa" w:w="2160"/>
          </w:tcPr>
          <w:p>
            <w:r>
              <w:t>0.12</w:t>
            </w:r>
          </w:p>
        </w:tc>
        <w:tc>
          <w:tcPr>
            <w:tcW w:type="dxa" w:w="2160"/>
          </w:tcPr>
          <w:p>
            <w:r>
              <w:t>0.21</w:t>
            </w:r>
          </w:p>
        </w:tc>
      </w:tr>
      <w:tr>
        <w:tc>
          <w:tcPr>
            <w:tcW w:type="dxa" w:w="2160"/>
          </w:tcPr>
          <w:p>
            <w:r>
              <w:t>3</w:t>
            </w:r>
          </w:p>
        </w:tc>
        <w:tc>
          <w:tcPr>
            <w:tcW w:type="dxa" w:w="2160"/>
          </w:tcPr>
          <w:p>
            <w:r>
              <w:t>99.0</w:t>
            </w:r>
          </w:p>
        </w:tc>
        <w:tc>
          <w:tcPr>
            <w:tcW w:type="dxa" w:w="2160"/>
          </w:tcPr>
          <w:p>
            <w:r>
              <w:t>0.21</w:t>
            </w:r>
          </w:p>
        </w:tc>
        <w:tc>
          <w:tcPr>
            <w:tcW w:type="dxa" w:w="2160"/>
          </w:tcPr>
          <w:p>
            <w:r>
              <w:t>0.29</w:t>
            </w:r>
          </w:p>
        </w:tc>
      </w:tr>
      <w:tr>
        <w:tc>
          <w:tcPr>
            <w:tcW w:type="dxa" w:w="2160"/>
          </w:tcPr>
          <w:p>
            <w:r>
              <w:t>6</w:t>
            </w:r>
          </w:p>
        </w:tc>
        <w:tc>
          <w:tcPr>
            <w:tcW w:type="dxa" w:w="2160"/>
          </w:tcPr>
          <w:p>
            <w:r>
              <w:t>98.6</w:t>
            </w:r>
          </w:p>
        </w:tc>
        <w:tc>
          <w:tcPr>
            <w:tcW w:type="dxa" w:w="2160"/>
          </w:tcPr>
          <w:p>
            <w:r>
              <w:t>0.29</w:t>
            </w:r>
          </w:p>
        </w:tc>
        <w:tc>
          <w:tcPr>
            <w:tcW w:type="dxa" w:w="2160"/>
          </w:tcPr>
          <w:p>
            <w:r>
              <w:t>0.35</w:t>
            </w:r>
          </w:p>
        </w:tc>
      </w:tr>
    </w:tbl>
    <w:p>
      <w:r>
        <w:t>출처: ST-JJ-2602 v0.3 p.4 (미승인).</w:t>
      </w:r>
    </w:p>
    <w:p>
      <w:r>
        <w:t>관찰된 6개월까지 세 발췌 항목은 교육용 기준 이내였다. 장기 함량 감소폭은 0.5 %p, 가속 총 불순물 증가폭은 0.17 %p이다. [ST-JJ-2602 v0.3, p.3~5]</w:t>
      </w:r>
    </w:p>
    <w:p>
      <w:r>
        <w:t>제공 자료는 1배치·6개월 중간 결과다. 재시험기간·보관조건 확정·허가 후 안정성 계획은 (확인 필요). 24개월을 입증하지 않는다. [ST-JJ-2602 v0.3, p.1·5]</w:t>
      </w:r>
    </w:p>
    <w:p>
      <w:r>
        <w:br w:type="page"/>
      </w:r>
    </w:p>
    <w:p>
      <w:pPr>
        <w:pStyle w:val="Heading1"/>
      </w:pPr>
      <w:r>
        <w:t>근거표 · 검토 목록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기술 내용</w:t>
            </w:r>
          </w:p>
        </w:tc>
        <w:tc>
          <w:tcPr>
            <w:tcW w:type="dxa" w:w="2880"/>
          </w:tcPr>
          <w:p>
            <w:r>
              <w:t>원문 쪽수</w:t>
            </w:r>
          </w:p>
        </w:tc>
        <w:tc>
          <w:tcPr>
            <w:tcW w:type="dxa" w:w="2880"/>
          </w:tcPr>
          <w:p>
            <w:r>
              <w:t>상태</w:t>
            </w:r>
          </w:p>
        </w:tc>
      </w:tr>
      <w:tr>
        <w:tc>
          <w:tcPr>
            <w:tcW w:type="dxa" w:w="2880"/>
          </w:tcPr>
          <w:p>
            <w:r>
              <w:t>규격·방법</w:t>
            </w:r>
          </w:p>
        </w:tc>
        <w:tc>
          <w:tcPr>
            <w:tcW w:type="dxa" w:w="2880"/>
          </w:tcPr>
          <w:p>
            <w:r>
              <w:t>QC-JJ-2601 v1.0 p.2~3</w:t>
            </w:r>
          </w:p>
        </w:tc>
        <w:tc>
          <w:tcPr>
            <w:tcW w:type="dxa" w:w="2880"/>
          </w:tcPr>
          <w:p>
            <w:r>
              <w:t>검증 확인 필요</w:t>
            </w:r>
          </w:p>
        </w:tc>
      </w:tr>
      <w:tr>
        <w:tc>
          <w:tcPr>
            <w:tcW w:type="dxa" w:w="2880"/>
          </w:tcPr>
          <w:p>
            <w:r>
              <w:t>배치 3개 결과</w:t>
            </w:r>
          </w:p>
        </w:tc>
        <w:tc>
          <w:tcPr>
            <w:tcW w:type="dxa" w:w="2880"/>
          </w:tcPr>
          <w:p>
            <w:r>
              <w:t>QC-JJ-2601 v1.0 p.4</w:t>
            </w:r>
          </w:p>
        </w:tc>
        <w:tc>
          <w:tcPr>
            <w:tcW w:type="dxa" w:w="2880"/>
          </w:tcPr>
          <w:p>
            <w:r>
              <w:t>승인본</w:t>
            </w:r>
          </w:p>
        </w:tc>
      </w:tr>
      <w:tr>
        <w:tc>
          <w:tcPr>
            <w:tcW w:type="dxa" w:w="2880"/>
          </w:tcPr>
          <w:p>
            <w:r>
              <w:t>장기·가속 0·3·6개월</w:t>
            </w:r>
          </w:p>
        </w:tc>
        <w:tc>
          <w:tcPr>
            <w:tcW w:type="dxa" w:w="2880"/>
          </w:tcPr>
          <w:p>
            <w:r>
              <w:t>ST-JJ-2602 v0.3 p.2~4</w:t>
            </w:r>
          </w:p>
        </w:tc>
        <w:tc>
          <w:tcPr>
            <w:tcW w:type="dxa" w:w="2880"/>
          </w:tcPr>
          <w:p>
            <w:r>
              <w:t>미승인</w:t>
            </w:r>
          </w:p>
        </w:tc>
      </w:tr>
      <w:tr>
        <w:tc>
          <w:tcPr>
            <w:tcW w:type="dxa" w:w="2880"/>
          </w:tcPr>
          <w:p>
            <w:r>
              <w:t>재시험기간 미제공</w:t>
            </w:r>
          </w:p>
        </w:tc>
        <w:tc>
          <w:tcPr>
            <w:tcW w:type="dxa" w:w="2880"/>
          </w:tcPr>
          <w:p>
            <w:r>
              <w:t>ST-JJ-2602 v0.3 p.5</w:t>
            </w:r>
          </w:p>
        </w:tc>
        <w:tc>
          <w:tcPr>
            <w:tcW w:type="dxa" w:w="2880"/>
          </w:tcPr>
          <w:p>
            <w:r>
              <w:t>확인 필요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미확인 항목</w:t>
            </w:r>
          </w:p>
        </w:tc>
        <w:tc>
          <w:tcPr>
            <w:tcW w:type="dxa" w:w="2880"/>
          </w:tcPr>
          <w:p>
            <w:r>
              <w:t>근거</w:t>
            </w:r>
          </w:p>
        </w:tc>
        <w:tc>
          <w:tcPr>
            <w:tcW w:type="dxa" w:w="2880"/>
          </w:tcPr>
          <w:p>
            <w:r>
              <w:t>담당</w:t>
            </w:r>
          </w:p>
        </w:tc>
      </w:tr>
      <w:tr>
        <w:tc>
          <w:tcPr>
            <w:tcW w:type="dxa" w:w="2880"/>
          </w:tcPr>
          <w:p>
            <w:r>
              <w:t>방법 검증·규격 설정 근거</w:t>
            </w:r>
          </w:p>
        </w:tc>
        <w:tc>
          <w:tcPr>
            <w:tcW w:type="dxa" w:w="2880"/>
          </w:tcPr>
          <w:p>
            <w:r>
              <w:t>QC p.3</w:t>
            </w:r>
          </w:p>
        </w:tc>
        <w:tc>
          <w:tcPr>
            <w:tcW w:type="dxa" w:w="2880"/>
          </w:tcPr>
          <w:p>
            <w:r>
              <w:t>품질 라온</w:t>
            </w:r>
          </w:p>
        </w:tc>
      </w:tr>
      <w:tr>
        <w:tc>
          <w:tcPr>
            <w:tcW w:type="dxa" w:w="2880"/>
          </w:tcPr>
          <w:p>
            <w:r>
              <w:t>N/D 정량한계</w:t>
            </w:r>
          </w:p>
        </w:tc>
        <w:tc>
          <w:tcPr>
            <w:tcW w:type="dxa" w:w="2880"/>
          </w:tcPr>
          <w:p>
            <w:r>
              <w:t>QC p.5</w:t>
            </w:r>
          </w:p>
        </w:tc>
        <w:tc>
          <w:tcPr>
            <w:tcW w:type="dxa" w:w="2880"/>
          </w:tcPr>
          <w:p>
            <w:r>
              <w:t>품질 라온</w:t>
            </w:r>
          </w:p>
        </w:tc>
      </w:tr>
      <w:tr>
        <w:tc>
          <w:tcPr>
            <w:tcW w:type="dxa" w:w="2880"/>
          </w:tcPr>
          <w:p>
            <w:r>
              <w:t>미승인·추가 배치·기간</w:t>
            </w:r>
          </w:p>
        </w:tc>
        <w:tc>
          <w:tcPr>
            <w:tcW w:type="dxa" w:w="2880"/>
          </w:tcPr>
          <w:p>
            <w:r>
              <w:t>ST p.1·5</w:t>
            </w:r>
          </w:p>
        </w:tc>
        <w:tc>
          <w:tcPr>
            <w:tcW w:type="dxa" w:w="2880"/>
          </w:tcPr>
          <w:p>
            <w:r>
              <w:t>개발 다온</w:t>
            </w:r>
          </w:p>
        </w:tc>
      </w:tr>
      <w:tr>
        <w:tc>
          <w:tcPr>
            <w:tcW w:type="dxa" w:w="2880"/>
          </w:tcPr>
          <w:p>
            <w:r>
              <w:t>재시험기간·보관조건·허가 후 계획</w:t>
            </w:r>
          </w:p>
        </w:tc>
        <w:tc>
          <w:tcPr>
            <w:tcW w:type="dxa" w:w="2880"/>
          </w:tcPr>
          <w:p>
            <w:r>
              <w:t>ST p.5</w:t>
            </w:r>
          </w:p>
        </w:tc>
        <w:tc>
          <w:tcPr>
            <w:tcW w:type="dxa" w:w="2880"/>
          </w:tcPr>
          <w:p>
            <w:r>
              <w:t>RA 가온</w:t>
            </w:r>
          </w:p>
        </w:tc>
      </w:tr>
    </w:tbl>
    <w:p>
      <w:pPr>
        <w:pStyle w:val="Heading1"/>
      </w:pPr>
      <w:r>
        <w:t>수정 이력 · v0.1</w:t>
      </w:r>
    </w:p>
    <w:p>
      <w:r>
        <w:t>수정 전(의도적 오류 예시): 장기 조건 40±2 ℃에서 6개월 함량은 98.6 %였고, 재시험기간 24개월이 입증됐다. [ST-JJ-2602 v0.3, p.3]</w:t>
      </w:r>
    </w:p>
    <w:p>
      <w:r>
        <w:t>수정 후: 장기 25±2 ℃ / 60±5 %RH에서 6개월 함량은 99.1 %였다. [ST-JJ-2602 v0.3, p.2~3] 재시험기간은 자료에 없으므로 (확인 필요). [동 문서, p.5]</w:t>
      </w:r>
    </w:p>
    <w:p>
      <w:r>
        <w:t>최종 확인: 가온(RA) / 다온(개발) / 라온(품질), 모두 미확정. 적용 지역·최신 지침·실제 문서 승인 확인 후 별도 승인 절차를 따른다.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교육용 검토 초안 · 실제 제출용 아님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JJ바이오팜 · 교육 영상 시연용 가상 자료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맑은 고딕" w:hAnsi="맑은 고딕" w:eastAsia="맑은 고딕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맑은 고딕" w:hAnsi="맑은 고딕" w:eastAsia="맑은 고딕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맑은 고딕" w:hAnsi="맑은 고딕" w:eastAsia="맑은 고딕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ascii="맑은 고딕" w:hAnsi="맑은 고딕" w:eastAsia="맑은 고딕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ascii="맑은 고딕" w:hAnsi="맑은 고딕" w:eastAsia="맑은 고딕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ascii="맑은 고딕" w:hAnsi="맑은 고딕" w:eastAsia="맑은 고딕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ascii="맑은 고딕" w:hAnsi="맑은 고딕" w:eastAsia="맑은 고딕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ascii="맑은 고딕" w:hAnsi="맑은 고딕" w:eastAsia="맑은 고딕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ascii="맑은 고딕" w:hAnsi="맑은 고딕" w:eastAsia="맑은 고딕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맑은 고딕" w:hAnsi="맑은 고딕" w:eastAsia="맑은 고딕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맑은 고딕" w:hAnsi="맑은 고딕" w:eastAsia="맑은 고딕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맑은 고딕" w:hAnsi="맑은 고딕" w:eastAsia="맑은 고딕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맑은 고딕" w:hAnsi="맑은 고딕" w:eastAsia="맑은 고딕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맑은 고딕" w:hAnsi="맑은 고딕" w:eastAsia="맑은 고딕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맑은 고딕" w:hAnsi="맑은 고딕" w:eastAsia="맑은 고딕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맑은 고딕" w:hAnsi="맑은 고딕" w:eastAsia="맑은 고딕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맑은 고딕" w:hAnsi="맑은 고딕" w:eastAsia="맑은 고딕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맑은 고딕" w:hAnsi="맑은 고딕" w:eastAsia="맑은 고딕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맑은 고딕" w:hAnsi="맑은 고딕" w:eastAsia="맑은 고딕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맑은 고딕" w:hAnsi="맑은 고딕" w:eastAsia="맑은 고딕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맑은 고딕" w:hAnsi="맑은 고딕" w:eastAsia="맑은 고딕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맑은 고딕" w:hAnsi="맑은 고딕" w:eastAsia="맑은 고딕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맑은 고딕" w:hAnsi="맑은 고딕" w:eastAsia="맑은 고딕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맑은 고딕" w:hAnsi="맑은 고딕" w:eastAsia="맑은 고딕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맑은 고딕" w:hAnsi="맑은 고딕" w:eastAsia="맑은 고딕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맑은 고딕" w:hAnsi="맑은 고딕" w:eastAsia="맑은 고딕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맑은 고딕" w:hAnsi="맑은 고딕" w:eastAsia="맑은 고딕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맑은 고딕" w:hAnsi="맑은 고딕" w:eastAsia="맑은 고딕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맑은 고딕" w:hAnsi="맑은 고딕" w:eastAsia="맑은 고딕"/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맑은 고딕" w:hAnsi="맑은 고딕" w:eastAsia="맑은 고딕"/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rFonts w:ascii="맑은 고딕" w:hAnsi="맑은 고딕" w:eastAsia="맑은 고딕"/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맑은 고딕" w:hAnsi="맑은 고딕" w:eastAsia="맑은 고딕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