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JJ정밀 · 강솔가공 개선요청</w:t>
      </w:r>
    </w:p>
    <w:p>
      <w:pPr>
        <w:pStyle w:val="Heading2"/>
      </w:pPr>
      <w:r>
        <w:t>대상</w:t>
      </w:r>
    </w:p>
    <w:p>
      <w:r>
        <w:t>강솔가공(가상) · 불량 혼입 · SCAR-16</w:t>
      </w:r>
    </w:p>
    <w:p>
      <w:pPr>
        <w:pStyle w:val="Heading2"/>
      </w:pPr>
      <w:r>
        <w:t>조치</w:t>
      </w:r>
    </w:p>
    <w:p>
      <w:r>
        <w:t>분리 적치와 식별표 개선. 조치일 2026-10-28.</w:t>
      </w:r>
    </w:p>
    <w:p>
      <w:pPr>
        <w:pStyle w:val="Heading2"/>
      </w:pPr>
      <w:r>
        <w:t>효과 확인</w:t>
      </w:r>
    </w:p>
    <w:p>
      <w:r>
        <w:t>효과 확인일: ______ / 재발 여부: ______ / 확인자: 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JJ정밀 품질보증팀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