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생산기술팀 정리 기준</w:t>
      </w:r>
    </w:p>
    <w:p>
      <w:r>
        <w:t>교육 영상 시연용 가상 자료</w:t>
      </w:r>
    </w:p>
    <w:p>
      <w:r>
        <w:t>JJ정밀(가상, 자동차 부품 제조, 직원 420명). 품번 JJ-P01, 생산기술팀 담당.</w:t>
      </w:r>
    </w:p>
    <w:p>
      <w:r>
        <w:t>종이표준서 3종과 기존기준표 3행은 같은 표준서를 가리킨다. 원본을 덮어쓰거나 새 개정으로 확정하지 않는다.</w:t>
      </w:r>
    </w:p>
    <w:p>
      <w:r>
        <w:t>문서번호·공정·품번·설비·작업행 번호·작업 내용·기준값과 단위·주의·출처·FMEA 연결·확인 상태·검토자·승인자·개정의 칸을 공통으로 둔다.</w:t>
      </w:r>
    </w:p>
    <w:p>
      <w:r>
        <w:t>번역 언어는 영어와 베트남어. 한국어를 옆에 두고 작업행 번호와 수치·단위를 그대로 유지한다. 용어는 후보이며 모국어 검토 전 승인하지 않는다.</w:t>
      </w:r>
    </w:p>
    <w:p>
      <w:r>
        <w:t>원본끼리 다르면 두 값을 모두 보존하고 (확인 필요)로 남긴다. 읽지 못한 글자는 (판독 불가). 수치가 같아도 승인 자료 대조 전에는 확정하지 않는다.</w:t>
      </w:r>
    </w:p>
    <w:p>
      <w:r>
        <w:t>F-01은 WS-101-02, F-02는 WS-102-02, F-03은 WS-103-02에 연결한다. 설비별 안전 절차와 판정 기준은 담당자가 확인한다.</w:t>
      </w:r>
    </w:p>
    <w:p>
      <w:r>
        <w:t>가상 종이표준서에는 수치 1,200 r/min, 24 N·m이 있다. 도면에는 20.00 ±0.05 mm와 24 N·m이 있다. 엑셀의 다른 값도 지우지 않는다.</w:t>
      </w:r>
    </w:p>
    <w:p>
      <w:r>
        <w:t>완성 예시는 3종×한국어·영어·베트남어=9문서, 문서당 작업 3행으로 총 27작업행이다. 원본 수치 충돌 3건과 판독 불가 1건을 별도 확인 목록으로 관리한다.</w:t>
      </w:r>
    </w:p>
    <w:p>
      <w:r>
        <w:t>작업·판정·현장 배포를 보류한 검토용 초안이다. 최종 판단·확정은 생산기술팀·품질팀·현장 책임자이며 번역은 모국어 검토자가 확인한다.</w:t>
      </w:r>
    </w:p>
    <w:p>
      <w:r>
        <w:t>비용 계산은 예시다. 월 12종×반복 정리 25분=300분, 정리 10분+사람 검토 10분=20분씩 240분, 차이 60분. 시간당 30,000원 가정 시 30,000원 상당. 번역·도구 비용과 실제 효과는 별도 측정한다.</w:t>
      </w:r>
    </w:p>
    <w:p>
      <w:pPr>
        <w:pStyle w:val="Heading1"/>
      </w:pPr>
      <w:r>
        <w:t>현장 용어 후보 · 모두 모국어 검토 필요</w:t>
      </w:r>
    </w:p>
    <w:p>
      <w:r>
        <w:t>지그 / 부품 위치를 잡는 고정 장치 / jig / đồ gá</w:t>
      </w:r>
    </w:p>
    <w:p>
      <w:r>
        <w:t>버 / 가공 가장자리에 남은 돌출부 / burr / ba via</w:t>
      </w:r>
    </w:p>
    <w:p>
      <w:r>
        <w:t>체결 토크 / 볼트를 조이는 회전 힘 / tightening torque / mô-men siết</w:t>
      </w:r>
    </w:p>
    <w:p>
      <w:r>
        <w:t>끼임 / 움직이는 부분 사이에 몸이 끼는 위험 / pinch hazard / nguy cơ bị kẹp</w:t>
      </w:r>
    </w:p>
    <w:p>
      <w:r>
        <w:t>초품 / 시작 시 확인하는 첫 가공품 / first piece / sản phẩm đầu tiên</w:t>
      </w:r>
    </w:p>
    <w:p>
      <w:r>
        <w:t>전원 차단 / 설비별 승인 절차에 따라 확인할 항목 / power isolation / cô lập nguồn điện</w:t>
      </w:r>
    </w:p>
    <w:sectPr w:rsidR="00FC693F" w:rsidRPr="0006063C" w:rsidSect="00034616">
      <w:footerReference w:type="default" r:id="rId9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| 현장 배포 금지 · 검토 초안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맑은 고딕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맑은 고딕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맑은 고딕"/>
      <w:b/>
      <w:bCs/>
      <w:color w:val="365F91" w:themeColor="accent1" w:themeShade="BF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맑은 고딕"/>
      <w:b/>
      <w:bCs/>
      <w:color w:val="4F81BD" w:themeColor="accent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맑은 고딕"/>
      <w:b/>
      <w:bCs/>
      <w:color w:val="4F81BD" w:themeColor="accent1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 w:eastAsia="맑은 고딕"/>
      <w:b/>
      <w:bCs/>
      <w:i/>
      <w:iCs/>
      <w:color w:val="4F81BD" w:themeColor="accent1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 w:eastAsia="맑은 고딕"/>
      <w:color w:val="243F60" w:themeColor="accent1" w:themeShade="7F"/>
      <w:sz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 w:eastAsia="맑은 고딕"/>
      <w:i/>
      <w:iCs/>
      <w:color w:val="243F60" w:themeColor="accent1" w:themeShade="7F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 w:eastAsia="맑은 고딕"/>
      <w:i/>
      <w:iCs/>
      <w:color w:val="404040" w:themeColor="text1" w:themeTint="BF"/>
      <w:sz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 w:eastAsia="맑은 고딕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 w:eastAsia="맑은 고딕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 w:eastAsia="맑은 고딕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맑은 고딕"/>
      <w:color w:val="17365D" w:themeColor="text2" w:themeShade="BF"/>
      <w:spacing w:val="5"/>
      <w:kern w:val="28"/>
      <w:sz w:val="2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 w:eastAsia="맑은 고딕"/>
      <w:i/>
      <w:iCs/>
      <w:color w:val="4F81BD" w:themeColor="accent1"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 w:eastAsia="맑은 고딕"/>
      <w:sz w:val="2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 w:eastAsia="맑은 고딕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 w:eastAsia="맑은 고딕"/>
      <w:sz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 w:eastAsia="맑은 고딕"/>
      <w:sz w:val="20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 w:eastAsia="맑은 고딕"/>
      <w:sz w:val="2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 w:eastAsia="맑은 고딕"/>
      <w:sz w:val="2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 w:eastAsia="맑은 고딕"/>
      <w:sz w:val="2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eastAsia="맑은 고딕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 w:eastAsia="맑은 고딕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 w:eastAsia="맑은 고딕"/>
      <w:sz w:val="2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eastAsia="맑은 고딕"/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 w:eastAsia="맑은 고딕"/>
      <w:sz w:val="2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 w:eastAsia="맑은 고딕"/>
      <w:sz w:val="2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 w:eastAsia="맑은 고딕"/>
      <w:sz w:val="2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 w:eastAsia="맑은 고딕"/>
      <w:sz w:val="2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 w:eastAsia="맑은 고딕"/>
      <w:sz w:val="2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맑은 고딕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 w:eastAsia="맑은 고딕"/>
      <w:i/>
      <w:iCs/>
      <w:color w:val="000000" w:themeColor="text1"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eastAsia="맑은 고딕"/>
      <w:b/>
      <w:bCs/>
      <w:color w:val="4F81BD" w:themeColor="accent1"/>
      <w:sz w:val="20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Arial" w:hAnsi="Arial" w:eastAsia="맑은 고딕"/>
      <w:b/>
      <w:bCs/>
      <w:i/>
      <w:iCs/>
      <w:color w:val="4F81BD" w:themeColor="accent1"/>
      <w:sz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 w:eastAsia="맑은 고딕"/>
      <w:sz w:val="2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