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다온생활 2026년 10월 월간 운영 보고서</w:t>
      </w:r>
    </w:p>
    <w:p>
      <w:r>
        <w:t>교육 영상 시연용 가상 자료 | JJ로지스(가상, 3자물류·화물운송, 센터 6곳) | 다온생활(가명)</w:t>
      </w:r>
    </w:p>
    <w:p>
      <w:r>
        <w:t>검토용 초안 | 2026년 10월 31일 마감 | 9월 비교 | 6센터 | 금액 부가세 제외</w:t>
      </w:r>
    </w:p>
    <w:p>
      <w:pPr>
        <w:pStyle w:val="Heading1"/>
      </w:pPr>
      <w:r>
        <w:t>1. 핵심 지표</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지표</w:t>
            </w:r>
          </w:p>
        </w:tc>
        <w:tc>
          <w:tcPr>
            <w:tcW w:type="dxa" w:w="2160"/>
          </w:tcPr>
          <w:p>
            <w:r>
              <w:t>9월</w:t>
            </w:r>
          </w:p>
        </w:tc>
        <w:tc>
          <w:tcPr>
            <w:tcW w:type="dxa" w:w="2160"/>
          </w:tcPr>
          <w:p>
            <w:r>
              <w:t>10월</w:t>
            </w:r>
          </w:p>
        </w:tc>
        <w:tc>
          <w:tcPr>
            <w:tcW w:type="dxa" w:w="2160"/>
          </w:tcPr>
          <w:p>
            <w:r>
              <w:t>변화·해석</w:t>
            </w:r>
          </w:p>
        </w:tc>
      </w:tr>
      <w:tr>
        <w:tc>
          <w:tcPr>
            <w:tcW w:type="dxa" w:w="2160"/>
          </w:tcPr>
          <w:p>
            <w:r>
              <w:t>실제 운송</w:t>
            </w:r>
          </w:p>
        </w:tc>
        <w:tc>
          <w:tcPr>
            <w:tcW w:type="dxa" w:w="2160"/>
          </w:tcPr>
          <w:p>
            <w:r>
              <w:t>13,000건</w:t>
            </w:r>
          </w:p>
        </w:tc>
        <w:tc>
          <w:tcPr>
            <w:tcW w:type="dxa" w:w="2160"/>
          </w:tcPr>
          <w:p>
            <w:r>
              <w:t>14,000건</w:t>
            </w:r>
          </w:p>
        </w:tc>
        <w:tc>
          <w:tcPr>
            <w:tcW w:type="dxa" w:w="2160"/>
          </w:tcPr>
          <w:p>
            <w:r>
              <w:t>+7.69%</w:t>
            </w:r>
          </w:p>
        </w:tc>
      </w:tr>
      <w:tr>
        <w:tc>
          <w:tcPr>
            <w:tcW w:type="dxa" w:w="2160"/>
          </w:tcPr>
          <w:p>
            <w:r>
              <w:t>정시 배송률</w:t>
            </w:r>
          </w:p>
        </w:tc>
        <w:tc>
          <w:tcPr>
            <w:tcW w:type="dxa" w:w="2160"/>
          </w:tcPr>
          <w:p>
            <w:r>
              <w:t>99.00%</w:t>
            </w:r>
          </w:p>
        </w:tc>
        <w:tc>
          <w:tcPr>
            <w:tcW w:type="dxa" w:w="2160"/>
          </w:tcPr>
          <w:p>
            <w:r>
              <w:t>98.29%</w:t>
            </w:r>
          </w:p>
        </w:tc>
        <w:tc>
          <w:tcPr>
            <w:tcW w:type="dxa" w:w="2160"/>
          </w:tcPr>
          <w:p>
            <w:r>
              <w:t>-0.71%p</w:t>
            </w:r>
          </w:p>
        </w:tc>
      </w:tr>
      <w:tr>
        <w:tc>
          <w:tcPr>
            <w:tcW w:type="dxa" w:w="2160"/>
          </w:tcPr>
          <w:p>
            <w:r>
              <w:t>사고 접수</w:t>
            </w:r>
          </w:p>
        </w:tc>
        <w:tc>
          <w:tcPr>
            <w:tcW w:type="dxa" w:w="2160"/>
          </w:tcPr>
          <w:p>
            <w:r>
              <w:t>18건</w:t>
            </w:r>
          </w:p>
        </w:tc>
        <w:tc>
          <w:tcPr>
            <w:tcW w:type="dxa" w:w="2160"/>
          </w:tcPr>
          <w:p>
            <w:r>
              <w:t>24건</w:t>
            </w:r>
          </w:p>
        </w:tc>
        <w:tc>
          <w:tcPr>
            <w:tcW w:type="dxa" w:w="2160"/>
          </w:tcPr>
          <w:p>
            <w:r>
              <w:t>+6건</w:t>
            </w:r>
          </w:p>
        </w:tc>
      </w:tr>
      <w:tr>
        <w:tc>
          <w:tcPr>
            <w:tcW w:type="dxa" w:w="2160"/>
          </w:tcPr>
          <w:p>
            <w:r>
              <w:t>운임 청구액</w:t>
            </w:r>
          </w:p>
        </w:tc>
        <w:tc>
          <w:tcPr>
            <w:tcW w:type="dxa" w:w="2160"/>
          </w:tcPr>
          <w:p>
            <w:r>
              <w:t>120,000,000원</w:t>
            </w:r>
          </w:p>
        </w:tc>
        <w:tc>
          <w:tcPr>
            <w:tcW w:type="dxa" w:w="2160"/>
          </w:tcPr>
          <w:p>
            <w:r>
              <w:t>130,000,000원</w:t>
            </w:r>
          </w:p>
        </w:tc>
        <w:tc>
          <w:tcPr>
            <w:tcW w:type="dxa" w:w="2160"/>
          </w:tcPr>
          <w:p>
            <w:r>
              <w:t>+10,000,000원</w:t>
            </w:r>
          </w:p>
        </w:tc>
      </w:tr>
      <w:tr>
        <w:tc>
          <w:tcPr>
            <w:tcW w:type="dxa" w:w="2160"/>
          </w:tcPr>
          <w:p>
            <w:r>
              <w:t>운임 확인보류액</w:t>
            </w:r>
          </w:p>
        </w:tc>
        <w:tc>
          <w:tcPr>
            <w:tcW w:type="dxa" w:w="2160"/>
          </w:tcPr>
          <w:p>
            <w:r>
              <w:t>0원</w:t>
            </w:r>
          </w:p>
        </w:tc>
        <w:tc>
          <w:tcPr>
            <w:tcW w:type="dxa" w:w="2160"/>
          </w:tcPr>
          <w:p>
            <w:r>
              <w:t>2,600,000원</w:t>
            </w:r>
          </w:p>
        </w:tc>
        <w:tc>
          <w:tcPr>
            <w:tcW w:type="dxa" w:w="2160"/>
          </w:tcPr>
          <w:p>
            <w:r>
              <w:t>절감 미확정</w:t>
            </w:r>
          </w:p>
        </w:tc>
      </w:tr>
      <w:tr>
        <w:tc>
          <w:tcPr>
            <w:tcW w:type="dxa" w:w="2160"/>
          </w:tcPr>
          <w:p>
            <w:r>
              <w:t>운송 탄소 총량</w:t>
            </w:r>
          </w:p>
        </w:tc>
        <w:tc>
          <w:tcPr>
            <w:tcW w:type="dxa" w:w="2160"/>
          </w:tcPr>
          <w:p>
            <w:r>
              <w:t>10,000kgCO2e</w:t>
            </w:r>
          </w:p>
        </w:tc>
        <w:tc>
          <w:tcPr>
            <w:tcW w:type="dxa" w:w="2160"/>
          </w:tcPr>
          <w:p>
            <w:r>
              <w:t>10,600kgCO2e</w:t>
            </w:r>
          </w:p>
        </w:tc>
        <w:tc>
          <w:tcPr>
            <w:tcW w:type="dxa" w:w="2160"/>
          </w:tcPr>
          <w:p>
            <w:r>
              <w:t>+6.00%</w:t>
            </w:r>
          </w:p>
        </w:tc>
      </w:tr>
      <w:tr>
        <w:tc>
          <w:tcPr>
            <w:tcW w:type="dxa" w:w="2160"/>
          </w:tcPr>
          <w:p>
            <w:r>
              <w:t>운송 1건당 배출량</w:t>
            </w:r>
          </w:p>
        </w:tc>
        <w:tc>
          <w:tcPr>
            <w:tcW w:type="dxa" w:w="2160"/>
          </w:tcPr>
          <w:p>
            <w:r>
              <w:t>0.769kgCO2e</w:t>
            </w:r>
          </w:p>
        </w:tc>
        <w:tc>
          <w:tcPr>
            <w:tcW w:type="dxa" w:w="2160"/>
          </w:tcPr>
          <w:p>
            <w:r>
              <w:t>0.757kgCO2e</w:t>
            </w:r>
          </w:p>
        </w:tc>
        <w:tc>
          <w:tcPr>
            <w:tcW w:type="dxa" w:w="2160"/>
          </w:tcPr>
          <w:p>
            <w:r>
              <w:t>-1.57%</w:t>
            </w:r>
          </w:p>
        </w:tc>
      </w:tr>
    </w:tbl>
    <w:p>
      <w:r>
        <w:t>10월 실제 운송은 14,000건으로 9월보다 7.69% 늘었다. 정시 배송률은 98.29%로 9월 99.00%보다 0.71%p 낮고, 목표 98.50%보다 0.21%p 낮다. 물량 증가와 서비스 수준 변화를 함께 살펴볼 필요가 있다.</w:t>
      </w:r>
    </w:p>
    <w:p>
      <w:r>
        <w:t>근거: 물량실적_앞업무결과_가상.xlsx / 일별실적 / 2026년 9~10월</w:t>
      </w:r>
    </w:p>
    <w:p>
      <w:r>
        <w:br w:type="page"/>
      </w:r>
    </w:p>
    <w:p>
      <w:pPr>
        <w:pStyle w:val="Heading1"/>
      </w:pPr>
      <w:r>
        <w:t>2. 문제와 원인 후보</w:t>
      </w:r>
    </w:p>
    <w:p>
      <w:r>
        <w:t>지연 운송 240건 중 상차대기 기록이 140건(58.33%)이다. 세부 원인이 미기록된 지연 40건은 추가 확인이 필요하다. 파손 접수 14건 중 10건에 재포장 이력이 함께 있으나, 이것만으로 파손 원인을 단정하지 않는다.</w:t>
      </w:r>
    </w:p>
    <w:p>
      <w:r>
        <w:t>근거: 물량실적_앞업무결과_가상.xlsx / 일별실적 / 2026년 10월</w:t>
      </w:r>
    </w:p>
    <w:p>
      <w:pPr>
        <w:pStyle w:val="Heading1"/>
      </w:pPr>
      <w:r>
        <w:t>3. 사고 처리</w:t>
      </w:r>
    </w:p>
    <w:p>
      <w:r>
        <w:t>10월 사고 접수는 파손 14건, 분실 6건, 지연 4건으로 총 24건이다. 종결 20건, 처리 중 4건이며, 내부 재확인일은 11월 5일이다. 지연 운송 240건과 사고의 지연 접수 4건은 합산하지 않는다.</w:t>
      </w:r>
    </w:p>
    <w:p>
      <w:r>
        <w:t>근거: 사고현황_앞업무결과_가상.xlsx / 접수목록 / 2026년 10월</w:t>
      </w:r>
    </w:p>
    <w:p>
      <w:pPr>
        <w:pStyle w:val="Heading1"/>
      </w:pPr>
      <w:r>
        <w:t>4. 운임 확인</w:t>
      </w:r>
    </w:p>
    <w:p>
      <w:r>
        <w:t>운송사 청구액 130,000,000원 중 내부대조일치액은 127,400,000원, 확인보류액은 2,600,000원이다. 보류 사유는 중복 의심 1,500,000원과 할증 근거 미확인 1,100,000원이다. 상대 합의·지급·절감은 미확정이다. 부가세 제외이며 화주 청구 매출이 아니다.</w:t>
      </w:r>
    </w:p>
    <w:p>
      <w:r>
        <w:t>근거: 운임대조_앞업무결과_가상.xlsx / 대조내역 / 2026년 10월</w:t>
      </w:r>
    </w:p>
    <w:p>
      <w:pPr>
        <w:pStyle w:val="Heading1"/>
      </w:pPr>
      <w:r>
        <w:t>5. 탄소 산정</w:t>
      </w:r>
    </w:p>
    <w:p>
      <w:r>
        <w:t>제공된 도로 운송 구간의 교육용 탄소 총량은 10,600kgCO2e로 9월보다 6.00% 늘었다. 운송 1건당 배출량은 0.769에서 0.757kgCO2e로 1.57% 줄었다. 가상 계수 0.1kgCO2e/톤km로 산정한 값이며 공시·인증·감축 확정 자료로 쓸 수 없다.</w:t>
      </w:r>
    </w:p>
    <w:p>
      <w:r>
        <w:t>근거: 탄소계산_앞업무결과_가상.xlsx / 운행별계산 / 2026년 10월</w:t>
      </w:r>
    </w:p>
    <w:p>
      <w:r>
        <w:br w:type="page"/>
      </w:r>
    </w:p>
    <w:p>
      <w:pPr>
        <w:pStyle w:val="Heading1"/>
      </w:pPr>
      <w:r>
        <w:t>6. 다음 달 개선 제안</w:t>
      </w:r>
    </w:p>
    <w:p>
      <w:r>
        <w:t>개선안은 모두 제안이다. 운영관리는 11월 7일까지 상차대기 시간대를 1주 점검하고, 품질관리는 11월 10일까지 재포장 이력이 있는 파손 10건의 포장·인수 기록을 대조한다. 정산관리는 11월 5일까지 보류 5건을 다시 대조한다. 담당·기한·완료 기준은 협의 후 확정한다.</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과제</w:t>
            </w:r>
          </w:p>
        </w:tc>
        <w:tc>
          <w:tcPr>
            <w:tcW w:type="dxa" w:w="2160"/>
          </w:tcPr>
          <w:p>
            <w:r>
              <w:t>담당 제안</w:t>
            </w:r>
          </w:p>
        </w:tc>
        <w:tc>
          <w:tcPr>
            <w:tcW w:type="dxa" w:w="2160"/>
          </w:tcPr>
          <w:p>
            <w:r>
              <w:t>기한 제안</w:t>
            </w:r>
          </w:p>
        </w:tc>
        <w:tc>
          <w:tcPr>
            <w:tcW w:type="dxa" w:w="2160"/>
          </w:tcPr>
          <w:p>
            <w:r>
              <w:t>완료 기준 제안</w:t>
            </w:r>
          </w:p>
        </w:tc>
      </w:tr>
      <w:tr>
        <w:tc>
          <w:tcPr>
            <w:tcW w:type="dxa" w:w="2160"/>
          </w:tcPr>
          <w:p>
            <w:r>
              <w:t>상차대기 지연 140건</w:t>
            </w:r>
          </w:p>
        </w:tc>
        <w:tc>
          <w:tcPr>
            <w:tcW w:type="dxa" w:w="2160"/>
          </w:tcPr>
          <w:p>
            <w:r>
              <w:t>운영관리</w:t>
            </w:r>
          </w:p>
        </w:tc>
        <w:tc>
          <w:tcPr>
            <w:tcW w:type="dxa" w:w="2160"/>
          </w:tcPr>
          <w:p>
            <w:r>
              <w:t>11월 7일</w:t>
            </w:r>
          </w:p>
        </w:tc>
        <w:tc>
          <w:tcPr>
            <w:tcW w:type="dxa" w:w="2160"/>
          </w:tcPr>
          <w:p>
            <w:r>
              <w:t>시간대별 1주 점검 / 세부 원인 확인</w:t>
            </w:r>
          </w:p>
        </w:tc>
      </w:tr>
      <w:tr>
        <w:tc>
          <w:tcPr>
            <w:tcW w:type="dxa" w:w="2160"/>
          </w:tcPr>
          <w:p>
            <w:r>
              <w:t>재포장 이력 동반 파손 10건</w:t>
            </w:r>
          </w:p>
        </w:tc>
        <w:tc>
          <w:tcPr>
            <w:tcW w:type="dxa" w:w="2160"/>
          </w:tcPr>
          <w:p>
            <w:r>
              <w:t>품질관리</w:t>
            </w:r>
          </w:p>
        </w:tc>
        <w:tc>
          <w:tcPr>
            <w:tcW w:type="dxa" w:w="2160"/>
          </w:tcPr>
          <w:p>
            <w:r>
              <w:t>11월 10일</w:t>
            </w:r>
          </w:p>
        </w:tc>
        <w:tc>
          <w:tcPr>
            <w:tcW w:type="dxa" w:w="2160"/>
          </w:tcPr>
          <w:p>
            <w:r>
              <w:t>포장·인수 기록 10건 대조</w:t>
            </w:r>
          </w:p>
        </w:tc>
      </w:tr>
      <w:tr>
        <w:tc>
          <w:tcPr>
            <w:tcW w:type="dxa" w:w="2160"/>
          </w:tcPr>
          <w:p>
            <w:r>
              <w:t>운임 보류 5건 / 260만원</w:t>
            </w:r>
          </w:p>
        </w:tc>
        <w:tc>
          <w:tcPr>
            <w:tcW w:type="dxa" w:w="2160"/>
          </w:tcPr>
          <w:p>
            <w:r>
              <w:t>정산관리</w:t>
            </w:r>
          </w:p>
        </w:tc>
        <w:tc>
          <w:tcPr>
            <w:tcW w:type="dxa" w:w="2160"/>
          </w:tcPr>
          <w:p>
            <w:r>
              <w:t>11월 5일</w:t>
            </w:r>
          </w:p>
        </w:tc>
        <w:tc>
          <w:tcPr>
            <w:tcW w:type="dxa" w:w="2160"/>
          </w:tcPr>
          <w:p>
            <w:r>
              <w:t>중복·할증 근거 재확인</w:t>
            </w:r>
          </w:p>
        </w:tc>
      </w:tr>
    </w:tbl>
    <w:p>
      <w:pPr>
        <w:pStyle w:val="Heading1"/>
      </w:pPr>
      <w:r>
        <w:t>7. 확인 필요 사항</w:t>
      </w:r>
    </w:p>
    <w:p>
      <w:r>
        <w:t>상차대기의 세부 원인, 파손과 재포장의 인과관계, 보류액의 최종 조정 여부, 실제 탄소 계수·누락 구간, 개선안 담당·기한은 (확인 필요).</w:t>
      </w:r>
    </w:p>
    <w:p>
      <w:r>
        <w:t>참조: 보고기준과현장메모_가상.docx / 보고 기준·현장 기록·개선안 제안 범위</w:t>
      </w:r>
    </w:p>
    <w:p>
      <w:r>
        <w:t>검토란: 운영관리 □  정산관리 □  탄소 담당 □  영업관리 □ / 승인 전 외부 발송 금지</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검토용 초안 · 승인 전 외부 발송 금지</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교육 영상 시연용 가상 자료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