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보고 기준과 현장 메모</w:t>
      </w:r>
    </w:p>
    <w:p>
      <w:r>
        <w:t>교육 영상 시연용 가상 자료 | JJ로지스(가상, 3자물류·화물운송, 센터 6곳) | 다온생활(가명)</w:t>
      </w:r>
    </w:p>
    <w:p>
      <w:pPr>
        <w:pStyle w:val="Heading2"/>
      </w:pPr>
      <w:r>
        <w:t>보고 범위</w:t>
      </w:r>
    </w:p>
    <w:p>
      <w:r>
        <w:t>2026년 10월 1~31일, 9월 비교, 다온생활(가명), JJ로지스 6센터. 자료 마감 10월 31일. 금액 부가세 제외.</w:t>
      </w:r>
    </w:p>
    <w:p>
      <w:pPr>
        <w:pStyle w:val="Heading2"/>
      </w:pPr>
      <w:r>
        <w:t>운영 기준</w:t>
      </w:r>
    </w:p>
    <w:p>
      <w:r>
        <w:t>월내 출고·완료한 운송 1건 기준. 정시율 목표는 98.50%. 사고는 접수번호로 세며 지연 운송과 합산하지 않음.</w:t>
      </w:r>
    </w:p>
    <w:p>
      <w:pPr>
        <w:pStyle w:val="Heading2"/>
      </w:pPr>
      <w:r>
        <w:t>물량 메모</w:t>
      </w:r>
    </w:p>
    <w:p>
      <w:r>
        <w:t>물량 자료는 앞 업무의 예상치에 마감 실적을 보완한 가상 결과다. 10월 예상 13,800건은 실제 14,000건과 구분한다.</w:t>
      </w:r>
    </w:p>
    <w:p>
      <w:pPr>
        <w:pStyle w:val="Heading2"/>
      </w:pPr>
      <w:r>
        <w:t>현장 기록</w:t>
      </w:r>
    </w:p>
    <w:p>
      <w:r>
        <w:t>10월 지연 240건 중 상차대기 기록 140건, 도착지대기 기록 60건, 원인 미기록 40건. 상차대기의 세부 원인은 미확인이다.</w:t>
      </w:r>
    </w:p>
    <w:p>
      <w:pPr>
        <w:pStyle w:val="Heading2"/>
      </w:pPr>
      <w:r>
        <w:t>파손 기록</w:t>
      </w:r>
    </w:p>
    <w:p>
      <w:r>
        <w:t>파손 접수 14건 중 10건에 재포장 이력이 함께 있다. 재포장이 파손을 일으켰다는 인과관계는 확인하지 못했다.</w:t>
      </w:r>
    </w:p>
    <w:p>
      <w:pPr>
        <w:pStyle w:val="Heading2"/>
      </w:pPr>
      <w:r>
        <w:t>사고 처리</w:t>
      </w:r>
    </w:p>
    <w:p>
      <w:r>
        <w:t>10월 접수 24건 중 종결 20건, 처리 중 4건. 4건의 내부 재확인일은 11월 5일이다. 법정·계약상 처리 기한으로 해석하지 않는다.</w:t>
      </w:r>
    </w:p>
    <w:p>
      <w:pPr>
        <w:pStyle w:val="Heading2"/>
      </w:pPr>
      <w:r>
        <w:t>정산 메모</w:t>
      </w:r>
    </w:p>
    <w:p>
      <w:r>
        <w:t>운송사 지급 운임이며 화주 매출이 아니다. 청구 130,000,000원, 내부대조일치 127,400,000원, 확인보류 2,600,000원. 상대 합의·지급은 미확정이다.</w:t>
      </w:r>
    </w:p>
    <w:p>
      <w:pPr>
        <w:pStyle w:val="Heading2"/>
      </w:pPr>
      <w:r>
        <w:t>탄소 메모</w:t>
      </w:r>
    </w:p>
    <w:p>
      <w:r>
        <w:t>9월 10,000kgCO2e, 10월 10,600kgCO2e. 도로 운송의 제공 구간만 계산했다. 0.1kgCO2e/톤km는 교육용 가상 계수다. 공시·인증에 쓰지 않는다.</w:t>
      </w:r>
    </w:p>
    <w:p>
      <w:pPr>
        <w:pStyle w:val="Heading2"/>
      </w:pPr>
      <w:r>
        <w:t>개선안 제안 범위</w:t>
      </w:r>
    </w:p>
    <w:p>
      <w:r>
        <w:t>담당자·기한·목표는 아래처럼 제안할 수 있으나 합의된 계획은 아니다. 상차대기: 운영관리, 11월 7일, 시간대별 1주 점검. 파손: 품질관리, 11월 10일, 재포장 10건 확인. 정산: 정산관리, 11월 5일, 보류 5건 재대조.</w:t>
      </w:r>
    </w:p>
    <w:p>
      <w:pPr>
        <w:pStyle w:val="Heading2"/>
      </w:pPr>
      <w:r>
        <w:t>보고서 모양</w:t>
      </w:r>
    </w:p>
    <w:p>
      <w:r>
        <w:t>핵심 지표, 문제와 원인 후보, 다음 달 개선 제안, 확인 필요 사항, 자료 근거 순서. 숫자마다 자료 파일·시트·기간을 붙인다.</w:t>
      </w:r>
    </w:p>
    <w:p>
      <w:pPr>
        <w:pStyle w:val="Heading2"/>
      </w:pPr>
      <w:r>
        <w:t>보안과 확정</w:t>
      </w:r>
    </w:p>
    <w:p>
      <w:r>
        <w:t>실제 자료는 화주명·운송장번호·이름·전화·주소를 가리고 사내 규정을 먼저 확인한다. 보고·정산·책임·탄소 수치는 담당자 검토 후 확정한다.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검토용 초안 · 승인 전 외부 발송 금지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