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노선별 배차·운임 개선 검토</w:t>
      </w:r>
    </w:p>
    <w:p>
      <w:r>
        <w:t>교육 영상 시연용 가상 자료 | JJ로지스</w:t>
      </w:r>
    </w:p>
    <w:p>
      <w:r>
        <w:t>분석기간: 2026-10-01~20. 원본 123행 → 동일 중복 3행 분리 → 요청 120건 / 완료 105건 / 실패 15건.</w:t>
      </w:r>
    </w:p>
    <w:p>
      <w:r>
        <w:t>실패율 12.5%. 완료 운임은 104건 확인, 빈값 1건. 실패사유 빈값 1건은 확인 필요로 남겼다.</w:t>
      </w:r>
    </w:p>
    <w:p>
      <w:r>
        <w:t>아래 조치는 확정 배차가 아닌 검토 후보다. 예상 물량은 2026-10-21 계획값이며 실적 분모에 합치지 않는다.</w:t>
      </w:r>
    </w:p>
    <w:p>
      <w:r>
        <w:t>비용 검토 예시: 가온→라온의 기준 대비 차이 = (550,000−500,000)×20건 = 1,000,000원. 같은 20건이 기준운임에 가능하다고 가정한 값이며 확정 절감액·이익이 아니다.</w:t>
      </w:r>
    </w:p>
    <w:p>
      <w:r>
        <w:t>적재율은 완료 실제중량 합/한도 합. 공차율은 공차거리 합/전체 주행거리 합. 운임 평균은 값이 있는 완료 건만 사용했다.</w:t>
      </w:r>
    </w:p>
    <w:p>
      <w:r>
        <w:t>최종 판단·확정은 배차·수송 담당자. 적재중량·부피·차종·상하차 시간·기사 운행 가능 시간·계약 조건을 확인하고 실제 운송을 결정한다.</w:t>
      </w:r>
    </w:p>
    <w:p>
      <w:r>
        <w:t>라온→가온 / 배차·수송 담당 / 출발 전 / 상하차 시간·차종·운임빈값 1건 확인</w:t>
      </w:r>
    </w:p>
    <w:p>
      <w:r>
        <w:t>누리→가온 / 배차·수송 담당 / 출발 전 / 확보 가능 차량과 마감 시간 확인</w:t>
      </w:r>
    </w:p>
    <w:p>
      <w:r>
        <w:t>가온→라온 / 수송·정산 담당 / 견적 전 / 초과 1,000,000원은 이익·확정 절감액 아님</w:t>
      </w:r>
    </w:p>
    <w:p>
      <w:r>
        <w:t>마루→새봄 / 배차·수송 담당 / 주간 회의 / 실패 3건 사유도 함께 확인</w:t>
      </w:r>
    </w:p>
    <w:p>
      <w:r>
        <w:t>가온→누리 / 수송·정산 담당 / 견적 전 / 운임 차이 180,000원은 조건 확인 전 참고값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구분</w:t>
            </w:r>
          </w:p>
        </w:tc>
        <w:tc>
          <w:tcPr>
            <w:tcW w:type="dxa" w:w="2160"/>
          </w:tcPr>
          <w:p>
            <w:r>
              <w:t>노선</w:t>
            </w:r>
          </w:p>
        </w:tc>
        <w:tc>
          <w:tcPr>
            <w:tcW w:type="dxa" w:w="2160"/>
          </w:tcPr>
          <w:p>
            <w:r>
              <w:t>근거</w:t>
            </w:r>
          </w:p>
        </w:tc>
        <w:tc>
          <w:tcPr>
            <w:tcW w:type="dxa" w:w="2160"/>
          </w:tcPr>
          <w:p>
            <w:r>
              <w:t>조치 후보</w:t>
            </w:r>
          </w:p>
        </w:tc>
      </w:tr>
      <w:tr>
        <w:tc>
          <w:tcPr>
            <w:tcW w:type="dxa" w:w="2160"/>
          </w:tcPr>
          <w:p>
            <w:r>
              <w:t>우선</w:t>
            </w:r>
          </w:p>
        </w:tc>
        <w:tc>
          <w:tcPr>
            <w:tcW w:type="dxa" w:w="2160"/>
          </w:tcPr>
          <w:p>
            <w:r>
              <w:t>라온→가온</w:t>
            </w:r>
          </w:p>
        </w:tc>
        <w:tc>
          <w:tcPr>
            <w:tcW w:type="dxa" w:w="2160"/>
          </w:tcPr>
          <w:p>
            <w:r>
              <w:t>실패율 25.0% / 적재율 40.0% / 공차율 33.3%</w:t>
            </w:r>
          </w:p>
        </w:tc>
        <w:tc>
          <w:tcPr>
            <w:tcW w:type="dxa" w:w="2160"/>
          </w:tcPr>
          <w:p>
            <w:r>
              <w:t>다음 날 20t·2대. 복귀 화물·시간 연결 검토</w:t>
            </w:r>
          </w:p>
        </w:tc>
      </w:tr>
      <w:tr>
        <w:tc>
          <w:tcPr>
            <w:tcW w:type="dxa" w:w="2160"/>
          </w:tcPr>
          <w:p>
            <w:r>
              <w:t>우선</w:t>
            </w:r>
          </w:p>
        </w:tc>
        <w:tc>
          <w:tcPr>
            <w:tcW w:type="dxa" w:w="2160"/>
          </w:tcPr>
          <w:p>
            <w:r>
              <w:t>누리→가온</w:t>
            </w:r>
          </w:p>
        </w:tc>
        <w:tc>
          <w:tcPr>
            <w:tcW w:type="dxa" w:w="2160"/>
          </w:tcPr>
          <w:p>
            <w:r>
              <w:t>실패율 20.0% / 적재율 44.0% / 공차율 33.3%</w:t>
            </w:r>
          </w:p>
        </w:tc>
        <w:tc>
          <w:tcPr>
            <w:tcW w:type="dxa" w:w="2160"/>
          </w:tcPr>
          <w:p>
            <w:r>
              <w:t>다음 날 18t·2대. 예비 차량·출발 시각 검토</w:t>
            </w:r>
          </w:p>
        </w:tc>
      </w:tr>
      <w:tr>
        <w:tc>
          <w:tcPr>
            <w:tcW w:type="dxa" w:w="2160"/>
          </w:tcPr>
          <w:p>
            <w:r>
              <w:t>비용</w:t>
            </w:r>
          </w:p>
        </w:tc>
        <w:tc>
          <w:tcPr>
            <w:tcW w:type="dxa" w:w="2160"/>
          </w:tcPr>
          <w:p>
            <w:r>
              <w:t>가온→라온</w:t>
            </w:r>
          </w:p>
        </w:tc>
        <w:tc>
          <w:tcPr>
            <w:tcW w:type="dxa" w:w="2160"/>
          </w:tcPr>
          <w:p>
            <w:r>
              <w:t>평균 550,000원 / 내부 기준 500,000원</w:t>
            </w:r>
          </w:p>
        </w:tc>
        <w:tc>
          <w:tcPr>
            <w:tcW w:type="dxa" w:w="2160"/>
          </w:tcPr>
          <w:p>
            <w:r>
              <w:t>다음 날 60t·4대. 차종별 조건·계약 확인</w:t>
            </w:r>
          </w:p>
        </w:tc>
      </w:tr>
      <w:tr>
        <w:tc>
          <w:tcPr>
            <w:tcW w:type="dxa" w:w="2160"/>
          </w:tcPr>
          <w:p>
            <w:r>
              <w:t>관찰</w:t>
            </w:r>
          </w:p>
        </w:tc>
        <w:tc>
          <w:tcPr>
            <w:tcW w:type="dxa" w:w="2160"/>
          </w:tcPr>
          <w:p>
            <w:r>
              <w:t>마루→새봄</w:t>
            </w:r>
          </w:p>
        </w:tc>
        <w:tc>
          <w:tcPr>
            <w:tcW w:type="dxa" w:w="2160"/>
          </w:tcPr>
          <w:p>
            <w:r>
              <w:t>적재율 60.0% / 공차율 23.8%</w:t>
            </w:r>
          </w:p>
        </w:tc>
        <w:tc>
          <w:tcPr>
            <w:tcW w:type="dxa" w:w="2160"/>
          </w:tcPr>
          <w:p>
            <w:r>
              <w:t>다음 날 30t·2대. 복귀 연계 가능성 확인</w:t>
            </w:r>
          </w:p>
        </w:tc>
      </w:tr>
      <w:tr>
        <w:tc>
          <w:tcPr>
            <w:tcW w:type="dxa" w:w="2160"/>
          </w:tcPr>
          <w:p>
            <w:r>
              <w:t>비용</w:t>
            </w:r>
          </w:p>
        </w:tc>
        <w:tc>
          <w:tcPr>
            <w:tcW w:type="dxa" w:w="2160"/>
          </w:tcPr>
          <w:p>
            <w:r>
              <w:t>가온→누리</w:t>
            </w:r>
          </w:p>
        </w:tc>
        <w:tc>
          <w:tcPr>
            <w:tcW w:type="dxa" w:w="2160"/>
          </w:tcPr>
          <w:p>
            <w:r>
              <w:t>평균 210,000원 / 내부 기준 200,000원</w:t>
            </w:r>
          </w:p>
        </w:tc>
        <w:tc>
          <w:tcPr>
            <w:tcW w:type="dxa" w:w="2160"/>
          </w:tcPr>
          <w:p>
            <w:r>
              <w:t>다음 날 36t·3대. 기준 대비 5% 차이 검토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