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계약 조건 내부 협의 기준</w:t>
      </w:r>
    </w:p>
    <w:p>
      <w:r>
        <w:t>교육 영상 시연용 가상 자료 | JJ로지스(가상, 3자물류·화물운송, 센터 6곳) | 가온생활(가명)</w:t>
      </w:r>
    </w:p>
    <w:p>
      <w:pPr>
        <w:pStyle w:val="Heading2"/>
      </w:pPr>
      <w:r>
        <w:t>자료의 지위</w:t>
      </w:r>
    </w:p>
    <w:p>
      <w:r>
        <w:t>조건정리표는 RFP 답변 초안 단계의 요청 사항이며 합의된 계약이 아니다. 계약서 v0.3과 비교하되 내부 기준을 법률로 표현하지 않는다.</w:t>
      </w:r>
    </w:p>
    <w:p>
      <w:pPr>
        <w:pStyle w:val="Heading2"/>
      </w:pPr>
      <w:r>
        <w:t>위험 표시 기준</w:t>
      </w:r>
    </w:p>
    <w:p>
      <w:r>
        <w:t>우선 협의: 내부 조건과 차이가 있고 손실 규모가 커질 수 있는 제4·6·7조. 추가 확인: 증빙 또는 적용 기준이 빠진 제5·8·9조. 제1·2·3·10조는 제공 기준상 차이 없음이며 전체 적법성 확인을 뜻하지 않는다.</w:t>
      </w:r>
    </w:p>
    <w:p>
      <w:pPr>
        <w:pStyle w:val="Heading2"/>
      </w:pPr>
      <w:r>
        <w:t>유류 조정 제안</w:t>
      </w:r>
    </w:p>
    <w:p>
      <w:r>
        <w:t>기준 유가 1,600원/L 대비 월 평균 유가가 ±5% 이상 변동하면 전체 변동률을 적용한다. 운송료 조정률은 전체 유가 변동률×유류비 비중 30%다. 운송료 50,000,000원에만 적용하고 보관료 10,000,000원은 제외한다. 상하향 대칭 조정, 지표·기준월·증빙·적용 시점은 서면 협의한다. 예시 유가 1,760원/L는 가상이며 실제 지표가 아니다.</w:t>
      </w:r>
    </w:p>
    <w:p>
      <w:pPr>
        <w:pStyle w:val="Heading2"/>
      </w:pPr>
      <w:r>
        <w:t>정시 도착 제안</w:t>
      </w:r>
    </w:p>
    <w:p>
      <w:r>
        <w:t>월 목표 98%는 유지한다. 차량 도착 기록과 화주 접수 기록을 대조하고, 접수 대기·귀책 주체·분쟁 증빙의 기준을 양사 서면 합의로 정한다.</w:t>
      </w:r>
    </w:p>
    <w:p>
      <w:pPr>
        <w:pStyle w:val="Heading2"/>
      </w:pPr>
      <w:r>
        <w:t>지연 페널티 제안</w:t>
      </w:r>
    </w:p>
    <w:p>
      <w:r>
        <w:t>30분 초과 조건은 유지하고 해당 건 운송료의 10%, 건당 최대 50,000원, 월 합계는 해당 월 운송료의 3%로 제안한다. 증빙으로 확인한 화주 귀책·불가항력 제외, 동일 손해의 제7조 중복 배상 방지 방식은 법무 확인 후 협의한다.</w:t>
      </w:r>
    </w:p>
    <w:p>
      <w:pPr>
        <w:pStyle w:val="Heading2"/>
      </w:pPr>
      <w:r>
        <w:t>손해배상 제안</w:t>
      </w:r>
    </w:p>
    <w:p>
      <w:r>
        <w:t>직접손해 범위, 사고당 10,000,000원·연간 합계 30,000,000원 한도를 내부 협의안으로 제시한다. 간접손해·영업손실 제외, 고의·중과실 등 예외, 적용법상 제한 및 보험과의 정합성은 법무 담당 확인 전 미확정이다. 법률상 표준 한도가 아니다.</w:t>
      </w:r>
    </w:p>
    <w:p>
      <w:pPr>
        <w:pStyle w:val="Heading2"/>
      </w:pPr>
      <w:r>
        <w:t>보험 확인</w:t>
      </w:r>
    </w:p>
    <w:p>
      <w:r>
        <w:t>별첨2 미제공. 보험금액·공제액·보상 제외 위험은 (확인 필요). 보험이 제7조의 모든 배상을 보장한다고 가정하지 않는다.</w:t>
      </w:r>
    </w:p>
    <w:p>
      <w:pPr>
        <w:pStyle w:val="Heading2"/>
      </w:pPr>
      <w:r>
        <w:t>해지 협의</w:t>
      </w:r>
    </w:p>
    <w:p>
      <w:r>
        <w:t>해지 통지는 30일 전으로 요청하고 선투입 비용·미정산 대금의 범위와 증빙·정산 기한을 협의한다. 합의되지 않은 정산액을 만들지 않는다.</w:t>
      </w:r>
    </w:p>
    <w:p>
      <w:pPr>
        <w:pStyle w:val="Heading2"/>
      </w:pPr>
      <w:r>
        <w:t>계산 가정</w:t>
      </w:r>
    </w:p>
    <w:p>
      <w:r>
        <w:t>부가세 별도. 지연 사례는 월 예상 총 대금 60,000,000원을 월 총 대금으로 가정한 예시다. 지연 10건, 각 건 운송료 100,000원. 원안 12,000,000원, 제안 예시 100,000원, 차이 11,900,000원. 실제 정산 기준과 계약 효력은 별도 확인한다.</w:t>
      </w:r>
    </w:p>
    <w:p>
      <w:pPr>
        <w:pStyle w:val="Heading2"/>
      </w:pPr>
      <w:r>
        <w:t>승인</w:t>
      </w:r>
    </w:p>
    <w:p>
      <w:r>
        <w:t>운영은 도착 증빙, 영업은 협상 조건, 계약·법무는 책임·예외·적용법, 결재권자는 확정 여부를 확인한다. 자동 발송·자동 계약 변경은 하지 않는다.</w:t>
      </w:r>
    </w:p>
    <w:sectPr w:rsidR="00FC693F" w:rsidRPr="0006063C" w:rsidSect="00034616">
      <w:footerReference w:type="default" r:id="rId9"/>
      <w:pgSz w:w="12240" w:h="15840"/>
      <w:pgMar w:top="964" w:right="1800" w:bottom="964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t>교육 영상 시연용 가상 자료 · 외부 발송 전 담당자 확인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맑은 고딕" w:hAnsi="맑은 고딕" w:eastAsia="맑은 고딕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맑은 고딕" w:hAnsi="맑은 고딕" w:eastAsia="맑은 고딕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맑은 고딕" w:hAnsi="맑은 고딕" w:eastAsia="맑은 고딕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맑은 고딕" w:hAnsi="맑은 고딕" w:eastAsia="맑은 고딕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