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JJ은행 월간 소비자보호·내부통제 집계 기준</w:t>
      </w:r>
    </w:p>
    <w:p>
      <w:r>
        <w:t>교육 영상 시연용 가상 자료</w:t>
      </w:r>
    </w:p>
    <w:p>
      <w:pPr>
        <w:pStyle w:val="Heading1"/>
      </w:pPr>
      <w:r>
        <w:t>범위와 기준일</w:t>
      </w:r>
    </w:p>
    <w:p>
      <w:r>
        <w:t>JJ은행 120개 영업점만 집계한다. 계열사 JJ생명 보험업무는 포함하지 않는다. 10월 마감일은 2026-10-31, 11월은 2026-11-30이다. 달력이 끝나지 않은 월의 수치도 교육용 가상 마감 자료이며 실적 전망이 아니다.</w:t>
      </w:r>
    </w:p>
    <w:p>
      <w:pPr>
        <w:pStyle w:val="Heading1"/>
      </w:pPr>
      <w:r>
        <w:t>완전판매 점수</w:t>
      </w:r>
    </w:p>
    <w:p>
      <w:r>
        <w:t>교육용 자체 지표다. 법정 평가지표나 규제 기준이 아니다. 해당 월 유효 대상건수 합계로 충족건수 합계를 나눠 100을 곱한다. 소수 둘째 자리 표시. 영업점 점수 단순 평균 금지. 대상건수가 없으면 그 영업점의 대상과 충족을 모두 분자·분모에서 제외하고 경고한다. 0은 누락과 구분하며 분모 합이 0이면 점수를 표시하지 않는다.</w:t>
      </w:r>
    </w:p>
    <w:p>
      <w:pPr>
        <w:pStyle w:val="Heading1"/>
      </w:pPr>
      <w:r>
        <w:t>중복 처리</w:t>
      </w:r>
    </w:p>
    <w:p>
      <w:r>
        <w:t>완전판매는 기준월+법인+영업점번호, 민원은 접수번호, 점검은 점검번호가 기준이다. 같은 기준의 모든 값이 같을 때만 한 행을 남긴다. 내용이 다른 충돌은 삭제하지 않고 확인 필요로 남기며 해당 결과 확정을 중단한다.</w:t>
      </w:r>
    </w:p>
    <w:p>
      <w:pPr>
        <w:pStyle w:val="Heading1"/>
      </w:pPr>
      <w:r>
        <w:t>영업점과 빈칸</w:t>
      </w:r>
    </w:p>
    <w:p>
      <w:r>
        <w:t>영업점기준_가상.xlsx의 번호로 이름을 통일한다. 번호가 없는 민원도 전체 접수 건수에는 포함하며 영업점 미확인으로 별도 표시한다. 이름만 보고 번호를 추측하지 않는다. 증빙이 없으면 확보 필요로 표시하며 점검 판정을 임의로 적정으로 바꾸지 않는다.</w:t>
      </w:r>
    </w:p>
    <w:p>
      <w:pPr>
        <w:pStyle w:val="Heading1"/>
      </w:pPr>
      <w:r>
        <w:t>민원</w:t>
      </w:r>
    </w:p>
    <w:p>
      <w:r>
        <w:t>접수일의 월별 고유 접수번호 수를 센다. 처리상태와 관계없이 접수 건수다. 8월 42건, 9월 36건, 10월 30건이다. 10월 수수료 12건·판매설명 10건·대출사후관리 8건. 영업점 미확인 1건을 포함한다. 11월 교체 자료 24건을 뒤에 이어 붙여 추이를 유지한다.</w:t>
      </w:r>
    </w:p>
    <w:p>
      <w:pPr>
        <w:pStyle w:val="Heading1"/>
      </w:pPr>
      <w:r>
        <w:t>점검</w:t>
      </w:r>
    </w:p>
    <w:p>
      <w:r>
        <w:t>같은 월 점검은 점검번호별로 센다. 미흡은 조치 완료도 포함한 발생 건수다. 확인 필요는 미흡과 별도다. 미조치는 미흡 중 조치상태가 완료가 아닌 건, 기한경과는 미조치이면서 조치기한이 기준일보다 앞선 건이다. 조치 완료 여부는 담당자 확인 후 반영한다. 기한경과가 곧 법 위반을 뜻하지 않는다.</w:t>
      </w:r>
    </w:p>
    <w:p>
      <w:pPr>
        <w:pStyle w:val="Heading1"/>
      </w:pPr>
      <w:r>
        <w:t>증빙과 우선순위</w:t>
      </w:r>
    </w:p>
    <w:p>
      <w:r>
        <w:t>점검 항목은 판매설명 확인, 대출용도 사후점검, 소비자 권리 안내다. 점검번호로 증빙 참조번호를 연결한다. 제공 파일에는 증빙 참조번호만 있고 실제 증빙 문서는 없다. 실무 확정 때 원문을 확인한다. 우선 확인은 기한경과 미조치, 그다음 증빙 미제출이다.</w:t>
      </w:r>
    </w:p>
    <w:p>
      <w:pPr>
        <w:pStyle w:val="Heading1"/>
      </w:pPr>
      <w:r>
        <w:t>10월 검산 기대값</w:t>
      </w:r>
    </w:p>
    <w:p>
      <w:r>
        <w:t>판매 원자료 363행→중복 3행 제거→360행. 10월 120개점 중 유효 119개점, 분모 누락 1개점. 유효 대상 2450건, 충족 2323건, 점수 94.82점. 민원 110행→중복 2행 제거→108건. 점검 245행→중복 5행 제거→240건: 적정 210·미흡 24·확인 필요 6. 미흡 24=조치완료 8+미조치 16. 기한경과 6, 증빙 미제출 9.</w:t>
      </w:r>
    </w:p>
    <w:p>
      <w:pPr>
        <w:pStyle w:val="Heading1"/>
      </w:pPr>
      <w:r>
        <w:t>11월 검산 기대값</w:t>
      </w:r>
    </w:p>
    <w:p>
      <w:r>
        <w:t>판매 120행, 유효 120개점, 대상 2470·충족 2346·점수 94.98점. 민원 24건. 점검 245행→240건: 적정 218·미흡 18·확인 필요 4. 미조치 10, 기한경과 4, 증빙 미제출 7. 과거 3개월 민원은 보존한다.</w:t>
      </w:r>
    </w:p>
    <w:p>
      <w:pPr>
        <w:pStyle w:val="Heading1"/>
      </w:pPr>
      <w:r>
        <w:t>갱신과 저장</w:t>
      </w:r>
    </w:p>
    <w:p>
      <w:r>
        <w:t>원본은 바꾸지 않는다. 정리본·검산표·현황판자료를 별도로 만든다. 현황판은 외부 연결 없이 여는 단일 HTML 결과 예시다. Codex가 엑셀을 읽어 정리한 현황판자료 CSV만 현황판의 자료 선택으로 불러온다. 엑셀을 직접 고르는 기능은 없다. 다음 달에는 월교체자료_202611_가상.xlsx를 읽어 새 CSV를 만들고 결과를 대조한다.</w:t>
      </w:r>
    </w:p>
    <w:p>
      <w:pPr>
        <w:pStyle w:val="Heading1"/>
      </w:pPr>
      <w:r>
        <w:t>보안·확정</w:t>
      </w:r>
    </w:p>
    <w:p>
      <w:r>
        <w:t>실제 자료를 넣을 때는 이름·주민번호·연락처를 가리고(가명 처리), 회사 규정을 먼저 확인한다. 사내망·보안 규정이 허용하는 도구인지 먼저 확인한다. 폴더 선택이 외부 전송 차단을 뜻하지 않는다. 현황판은 검토용이며 법 위반 판단·고객 조치·최종 확정은 담당자다.</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맑은 고딕" w:hAnsi="맑은 고딕" w:eastAsia="맑은 고딕"/>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맑은 고딕" w:hAnsi="맑은 고딕" w:eastAsia="맑은 고딕"/>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