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내부통제 점검 요약 실습 집계 기준</w:t>
      </w:r>
    </w:p>
    <w:p>
      <w:r>
        <w:t>JJ은행은 영업점 120곳을 둔 가상 은행이다. 보험 업무는 계열사 JJ생명 소관이며 이번 4개 부서 점검 범위에 포함하지 않는다. 실습은 2026년 10월, 기준일은 10월 31일이다.</w:t>
      </w:r>
    </w:p>
    <w:p>
      <w:r>
        <w:t>대상은 점검기준의 48개 항목이다. 제출표 51행에서 모든 값이 같은 중복 3행만 별도 기록하고 집계에서는 제외한다. 같은 점검번호라도 내용이 다르면 지우지 말고 충돌로 남긴다.</w:t>
      </w:r>
    </w:p>
    <w:p>
      <w:r>
        <w:t>부서명은 점검기준의 이름맞춤 시트에 있는 세 표기만 통일한다. 책무번호·점검번호는 추측해 새로 부여하지 않는다.</w:t>
      </w:r>
    </w:p>
    <w:p>
      <w:r>
        <w:t>부서보고의 완료는 자기 보고 상태이다. 이행 확인과 별개로 보존한다. 증빙에 당월 이행·범위·일자·확인자 기록이 있고 미해결 사항이 없으면 이행 확인으로 제안한다.</w:t>
      </w:r>
    </w:p>
    <w:p>
      <w:r>
        <w:t>증빙에 미이행·대상 미달·미해결 조치·필수 서명 누락이 명시되면 미흡으로 제안한다. 증빙 없음·대상월 다름·점검일 누락·자료 간 수치 충돌·본문 없음·승인 여부 불명은 확인 필요로 남긴다.</w:t>
      </w:r>
    </w:p>
    <w:p>
      <w:r>
        <w:t>초안과 실제 보고는 별개이다. STR 8건은 사유서 초안 수, 5건은 접수 기록으로 확인되는 실제 보고 수이다. 보고하지 않은 3건의 적법성이나 보고 의무 위반 여부를 추정하지 않는다.</w:t>
      </w:r>
    </w:p>
    <w:p>
      <w:r>
        <w:t>부서별 점검 항목은 각 12개, 책무별은 각 6개이다. 분모는 48개 항목이다. 이행 확인 비율은 이행 확인 항목 수를 48로 나눈 참고값으로서 법규 준수율·전 영업점 점검률이 아니다.</w:t>
      </w:r>
    </w:p>
    <w:p>
      <w:r>
        <w:t>미흡 조치 요청일은 교육용 제안이며 법정 기한이 아니다. 확인 필요 항목의 조치 기한은 미정으로 남긴다. 실무 확정 기한은 부서와 담당임원이 정한다.</w:t>
      </w:r>
    </w:p>
    <w:p>
      <w:r>
        <w:t>C09는 완전판매점검 파일, C22는 민원집계 파일, C33·C35는 STR검토 파일을 PDF와 함께 대조한다. PDF는 점검기록 발췌이며 실습 파일 바깥의 사실은 알 수 없다.</w:t>
      </w:r>
    </w:p>
    <w:p>
      <w:r>
        <w:t>읽은 파일 이름·시트·행 또는 PDF 쪽수·증빙번호를 결과에 붙인다. 원본은 읽기만 하고 결과 폴더에 새 파일로 저장한다. 결과는 담당자 검토 전 초안이다.</w:t>
      </w:r>
    </w:p>
    <w:p>
      <w:r>
        <w:t>실제 자료 사용 전 사내망·보안 규정이 허용하는 도구인지 먼저 확인한다. 이름·주민번호·연락처·계좌번호 등은 가리고 회사 규정을 먼저 확인한다. 폴더 선택은 외부 전송 차단을 뜻하지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