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월간 민원 집계 기준 · 유형기준 1.0</w:t>
      </w:r>
    </w:p>
    <w:p>
      <w:r>
        <w:t>교육 영상 시연용 가상 자료</w:t>
      </w:r>
    </w:p>
    <w:p>
      <w:pPr>
        <w:pStyle w:val="Heading2"/>
      </w:pPr>
      <w:r>
        <w:t>업무 맥락</w:t>
      </w:r>
    </w:p>
    <w:p>
      <w:r>
        <w:t>JJ은행 소비자보호팀. 영업점 120곳. 보험 업무는 계열사 JJ생명. 앞 업무 고객 민원에 회신문 초안 쓰기에서 정리한 쟁점을 사용한다.</w:t>
      </w:r>
    </w:p>
    <w:p>
      <w:pPr>
        <w:pStyle w:val="Heading2"/>
      </w:pPr>
      <w:r>
        <w:t>집계 단위</w:t>
      </w:r>
    </w:p>
    <w:p>
      <w:r>
        <w:t>한 달의 고유 접수번호 1개를 1건으로 센다. 이 자료는 한 접수의 대표 기록 1행과 완전히 같은 재수출 중복만 담았다. 실제로 같은 번호의 내용이 다르면 임의 삭제하지 말고 확인 필요로 돌린다. 번호가 다른 재접수는 별도 접수이며 고객 수가 아니다.</w:t>
      </w:r>
    </w:p>
    <w:p>
      <w:pPr>
        <w:pStyle w:val="Heading2"/>
      </w:pPr>
      <w:r>
        <w:t>민원과 상담</w:t>
      </w:r>
    </w:p>
    <w:p>
      <w:r>
        <w:t>민원·불만접수·이의는 민원으로 통일한다. 단순문의는 상담으로 별도 보존하고 민원 집계에서 제외한다. 본문과 구분이 충돌하면 확인 필요로 보낸다.</w:t>
      </w:r>
    </w:p>
    <w:p>
      <w:pPr>
        <w:pStyle w:val="Heading2"/>
      </w:pPr>
      <w:r>
        <w:t>같은 기준</w:t>
      </w:r>
    </w:p>
    <w:p>
      <w:r>
        <w:t>쟁점유형 표는 유형기준 1.0이다. 전월·당월 모두 이 기준으로 다시 분류한다. 옛 분류 결과와 새 결과를 그대로 비교하지 않는다.</w:t>
      </w:r>
    </w:p>
    <w:p>
      <w:pPr>
        <w:pStyle w:val="Heading2"/>
      </w:pPr>
      <w:r>
        <w:t>복수 쟁점</w:t>
      </w:r>
    </w:p>
    <w:p>
      <w:r>
        <w:t>주요 요청에 적힌 쟁점 하나를 대표 유형으로 삼는다. 부수 쟁점은 메모만 남기고 중복 집계하지 않는다. 우선 요청이 불명확하면 확인 필요.</w:t>
      </w:r>
    </w:p>
    <w:p>
      <w:pPr>
        <w:pStyle w:val="Heading2"/>
      </w:pPr>
      <w:r>
        <w:t>표기 통일</w:t>
      </w:r>
    </w:p>
    <w:p>
      <w:r>
        <w:t>입출금 통장·입출금 예금→입출금예금 / 신용 대출→신용대출 / 보장 보험→보장보험 / 정기 예금→정기예금. 상품 빈칸은 추측하지 않는다.</w:t>
      </w:r>
    </w:p>
    <w:p>
      <w:pPr>
        <w:pStyle w:val="Heading2"/>
      </w:pPr>
      <w:r>
        <w:t>원인 해석</w:t>
      </w:r>
    </w:p>
    <w:p>
      <w:r>
        <w:t>원인은 고객 원문상 주장 또는 호소를 요약한다. 회사의 실제 잘못이나 확인된 근본 원인으로 단정하지 않는다.</w:t>
      </w:r>
    </w:p>
    <w:p>
      <w:pPr>
        <w:pStyle w:val="Heading2"/>
      </w:pPr>
      <w:r>
        <w:t>집계 범위</w:t>
      </w:r>
    </w:p>
    <w:p>
      <w:r>
        <w:t>유형·상품·원인은 민원만 대상으로 하며 확인 필요를 포함해 월 합계와 일치시킨다. 단순 상담·중복은 별도 표. 은행과 생명은 기관별 열로 구별한다.</w:t>
      </w:r>
    </w:p>
    <w:p>
      <w:pPr>
        <w:pStyle w:val="Heading2"/>
      </w:pPr>
      <w:r>
        <w:t>급증 기준</w:t>
      </w:r>
    </w:p>
    <w:p>
      <w:r>
        <w:t>교육용 내부 기준: 전월 대비 증가율 30% 이상이며 증가 건수 20건 이상인 유형. 전월 0건은 증가율을 계산하지 않고 신규로 따로 표시한다. 확인 필요는 급증 판정에서 제외하되 전체 민원에는 포함한다.</w:t>
      </w:r>
    </w:p>
    <w:p>
      <w:pPr>
        <w:pStyle w:val="Heading2"/>
      </w:pPr>
      <w:r>
        <w:t>계산 방법</w:t>
      </w:r>
    </w:p>
    <w:p>
      <w:r>
        <w:t>증가 건수는 당월에서 전월을 뺀 값. 증가율은 증가 건수를 전월 건수로 나누어 백분율로 표시. 비중은 해당 월 전체 민원 건수를 분모로 사용. 건수와 비중을 함께 확인한다.</w:t>
      </w:r>
    </w:p>
    <w:p>
      <w:pPr>
        <w:pStyle w:val="Heading2"/>
      </w:pPr>
      <w:r>
        <w:t>검토 및 저장</w:t>
      </w:r>
    </w:p>
    <w:p>
      <w:r>
        <w:t>원본을 고치지 않는다. 결과는 새 결과 폴더에 저장한다. 중복 제외 목록·단순 상담·확인 필요 목록·행별 근거·기준 버전을 남긴다. 사람이 승인하기 전 검토용으로 표시한다.</w:t>
      </w:r>
    </w:p>
    <w:p>
      <w:pPr>
        <w:pStyle w:val="Heading2"/>
      </w:pPr>
      <w:r>
        <w:t>보안</w:t>
      </w:r>
    </w:p>
    <w:p>
      <w:r>
        <w:t>모든 인물은 가명. 실제 자료는 이름·주민번호·연락처·계좌·계약번호 등 식별 정보를 가리고 회사 규정을 먼저 확인한다. 사내망·보안 규정이 허용하는 도구인지 먼저 확인한다. 폴더 선택은 외부 전송 차단을 뜻하지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/>
      <w:b/>
      <w:bCs/>
      <w:i/>
      <w:iCs/>
      <w:color w:val="4F81BD" w:themeColor="accent1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/>
      <w:color w:val="243F60" w:themeColor="accent1" w:themeShade="7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/>
      <w:i/>
      <w:iCs/>
      <w:color w:val="243F60" w:themeColor="accent1" w:themeShade="7F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/>
      <w:i/>
      <w:iCs/>
      <w:color w:val="404040" w:themeColor="text1" w:themeTint="BF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/>
      <w:color w:val="4F81BD" w:themeColor="accent1"/>
      <w:sz w:val="22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/>
      <w:i/>
      <w:iCs/>
      <w:color w:val="404040" w:themeColor="text1" w:themeTint="BF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/>
      <w:color w:val="17365D" w:themeColor="text2" w:themeShade="BF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/>
      <w:i/>
      <w:iCs/>
      <w:color w:val="4F81BD" w:themeColor="accent1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/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/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/>
      <w:sz w:val="22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/>
      <w:sz w:val="22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/>
      <w:sz w:val="2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/>
      <w:sz w:val="2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/>
      <w:sz w:val="22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/>
      <w:sz w:val="22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/>
      <w:sz w:val="22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/>
      <w:sz w:val="22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/>
      <w:i/>
      <w:iCs/>
      <w:color w:val="000000" w:themeColor="text1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/>
      <w:b/>
      <w:bCs/>
      <w:color w:val="4F81BD" w:themeColor="accent1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/>
      <w:b/>
      <w:bCs/>
      <w:i/>
      <w:iCs/>
      <w:color w:val="4F81BD" w:themeColor="accent1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/>
      <w:sz w:val="22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