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회신문 작성·보안 기준</w:t>
      </w:r>
    </w:p>
    <w:p>
      <w:pPr>
        <w:pStyle w:val="Heading1"/>
      </w:pPr>
      <w:r>
        <w:t>외부 자료 사용 전</w:t>
      </w:r>
    </w:p>
    <w:p>
      <w:r>
        <w:t>사내망·보안 규정이 허용하는 도구인지 먼저 확인한다. 개인정보를 지우는 것만으로 외부 전송이 허용되는 것은 아니다. 승인되지 않으면 실제 자료 첨부를 중단한다.</w:t>
      </w:r>
    </w:p>
    <w:p>
      <w:pPr>
        <w:pStyle w:val="Heading1"/>
      </w:pPr>
      <w:r>
        <w:t>실제 자료 준비</w:t>
      </w:r>
    </w:p>
    <w:p>
      <w:r>
        <w:t>이름·주민번호·연락처·주소·계좌·증권번호·민감한 건강정보와 문서 속성·주석·숨김 시트를 확인해 지우거나 회사 기준에 따라 가명 처리한다. 재식별 가능한 날짜·지점 정보도 최소화한다. 원본은 사내 승인 저장소에 남기고 사본을 쓴다.</w:t>
      </w:r>
    </w:p>
    <w:p>
      <w:pPr>
        <w:pStyle w:val="Heading1"/>
      </w:pPr>
      <w:r>
        <w:t>작성 순서</w:t>
      </w:r>
    </w:p>
    <w:p>
      <w:r>
        <w:t>공감 → 고객 요청 요약 → 확인한 사실 → 근거 → 확인 필요 → 후속 안내. 불편에 공감하되 지급·과실·배상 책임을 먼저 인정하지 않는다. 고객 주장은 주장으로, 기록은 확인 사실로 구분한다.</w:t>
      </w:r>
    </w:p>
    <w:p>
      <w:pPr>
        <w:pStyle w:val="Heading1"/>
      </w:pPr>
      <w:r>
        <w:t>초안 검수</w:t>
      </w:r>
    </w:p>
    <w:p>
      <w:r>
        <w:t>민원 CP-A01, 세 쟁점, 약관 적용판·원문 쪽수, 공제 계산, 안내 수신의 공백을 대조한다. 법정 기한·지급 예정일·문의 경로를 임의로 만들지 않는다. 사례가의 보완 절차만 참고하고 다른 사례의 결과를 복사하지 않는다.</w:t>
      </w:r>
    </w:p>
    <w:p>
      <w:pPr>
        <w:pStyle w:val="Heading1"/>
      </w:pPr>
      <w:r>
        <w:t>확정·보관</w:t>
      </w:r>
    </w:p>
    <w:p>
      <w:r>
        <w:t>지급 여부·금액·예정일·지연 책임·발신 주체·이의 제기 안내는 담당자가 실제 약관·법령·회사 규정을 확인해 확정한다. (확인 필요)가 남으면 발송 보류. 고객용 회신문과 내부 검수 기록은 분리해 승인된 저장소에 보관한다. 개인 메신저·개인 휴대폰으로 보내지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외부 발송 금지 · 담당자 검토 전 초안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JJ은행 · 계열사 JJ생명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