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민원접수서 · CP-A01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접수 내용</w:t>
            </w:r>
          </w:p>
        </w:tc>
      </w:tr>
      <w:tr>
        <w:tc>
          <w:tcPr>
            <w:tcW w:type="dxa" w:w="5100"/>
          </w:tcPr>
          <w:p>
            <w:r>
              <w:t>접수일</w:t>
            </w:r>
          </w:p>
        </w:tc>
        <w:tc>
          <w:tcPr>
            <w:tcW w:type="dxa" w:w="5100"/>
          </w:tcPr>
          <w:p>
            <w:r>
              <w:t>2026-11-02</w:t>
            </w:r>
          </w:p>
        </w:tc>
      </w:tr>
      <w:tr>
        <w:tc>
          <w:tcPr>
            <w:tcW w:type="dxa" w:w="5100"/>
          </w:tcPr>
          <w:p>
            <w:r>
              <w:t>검토 조직</w:t>
            </w:r>
          </w:p>
        </w:tc>
        <w:tc>
          <w:tcPr>
            <w:tcW w:type="dxa" w:w="5100"/>
          </w:tcPr>
          <w:p>
            <w:r>
              <w:t>JJ은행 소비자보호팀 · 계열사 JJ생명 담당 부서 확인</w:t>
            </w:r>
          </w:p>
        </w:tc>
      </w:tr>
      <w:tr>
        <w:tc>
          <w:tcPr>
            <w:tcW w:type="dxa" w:w="5100"/>
          </w:tcPr>
          <w:p>
            <w:r>
              <w:t>상품·적용판</w:t>
            </w:r>
          </w:p>
        </w:tc>
        <w:tc>
          <w:tcPr>
            <w:tcW w:type="dxa" w:w="5100"/>
          </w:tcPr>
          <w:p>
            <w:r>
              <w:t>JJ생명 JJ안심생활 · 2026.09 (교육용 단순화 상품)</w:t>
            </w:r>
          </w:p>
        </w:tc>
      </w:tr>
      <w:tr>
        <w:tc>
          <w:tcPr>
            <w:tcW w:type="dxa" w:w="5100"/>
          </w:tcPr>
          <w:p>
            <w:r>
              <w:t>고객 표기</w:t>
            </w:r>
          </w:p>
        </w:tc>
        <w:tc>
          <w:tcPr>
            <w:tcW w:type="dxa" w:w="5100"/>
          </w:tcPr>
          <w:p>
            <w:r>
              <w:t>민원 고객 A · 무작위 연습 식별값 CP-A01</w:t>
            </w:r>
          </w:p>
        </w:tc>
      </w:tr>
      <w:tr>
        <w:tc>
          <w:tcPr>
            <w:tcW w:type="dxa" w:w="5100"/>
          </w:tcPr>
          <w:p>
            <w:r>
              <w:t>개인정보</w:t>
            </w:r>
          </w:p>
        </w:tc>
        <w:tc>
          <w:tcPr>
            <w:tcW w:type="dxa" w:w="5100"/>
          </w:tcPr>
          <w:p>
            <w:r>
              <w:t>이름·주민번호·연락처·주소·계좌·증권번호·의료기관·진단 정보 없음</w:t>
            </w:r>
          </w:p>
        </w:tc>
      </w:tr>
    </w:tbl>
    <w:p>
      <w:pPr>
        <w:pStyle w:val="Heading1"/>
      </w:pPr>
      <w:r>
        <w:t>고객이 적은 내용</w:t>
      </w:r>
    </w:p>
    <w:p>
      <w:r>
        <w:t>청구한 480000원이 아직 지급되지 않았습니다. 보완 안내를 받은 기억이 없는데 왜 다시 서류를 내야 하나요? 공제하지 말고 전액 지급해 주세요. 늦어진 이유와 지급 시점도 알려 주세요.</w:t>
      </w:r>
    </w:p>
    <w:p>
      <w:pPr>
        <w:pStyle w:val="Heading1"/>
      </w:pPr>
      <w:r>
        <w:t>검토 범위</w:t>
      </w:r>
    </w:p>
    <w:p>
      <w:r>
        <w:t>서류 보완 사유, 안내 수신 여부, 청구금액과 지급 검토 차이의 세 쟁점으로 정리한다. 고객 주장을 사실 확정으로 바꾸지 않는다. 지연 책임·보상·법정 처리기한·지급 예정일은 미확정이며 회사 담당 부서 확인이 필요하다.</w:t>
      </w:r>
    </w:p>
    <w:p>
      <w:r>
        <w:t>오늘 목표는 쟁점 정리와 근거를 단 회신문 초안이다. 외부 발송·지급 승인은 하지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외부 발송 금지 · 담당자 검토 전 초안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JJ은행 · 계열사 JJ생명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