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다음 달 작업 순서</w:t>
      </w:r>
    </w:p>
    <w:p>
      <w:r>
        <w:t>교육 영상 시연용 가상 자료</w:t>
      </w:r>
    </w:p>
    <w:p>
      <w:pPr>
        <w:pStyle w:val="Heading2"/>
      </w:pPr>
      <w:r>
        <w:t>1. 새 월 준비</w:t>
      </w:r>
    </w:p>
    <w:p>
      <w:r>
        <w:t>새 연습 폴더를 만들고 원본을 복사한다. 분석 대상 월, 발전소 목록, 시간 기준, 명세 버전을 확인한다. 기존 결과를 이번 입력으로 넣지 않는다. 사내 보안 규정이 허용하는 도구인지 먼저 확인한다.</w:t>
      </w:r>
    </w:p>
    <w:p>
      <w:pPr>
        <w:pStyle w:val="Heading2"/>
      </w:pPr>
      <w:r>
        <w:t>2. 진단과 정리</w:t>
      </w:r>
    </w:p>
    <w:p>
      <w:r>
        <w:t>예상 시간대 수를 달력과 발전소 수로 계산한다. 이름·날짜·단위를 기준표로 통일한다. 완전 동일 중복만 제거하고 값 충돌·누락·미수집은 보류한다. 원본은 고치지 않는다.</w:t>
      </w:r>
    </w:p>
    <w:p>
      <w:pPr>
        <w:pStyle w:val="Heading2"/>
      </w:pPr>
      <w:r>
        <w:t>3. 계산과 기록 연결</w:t>
      </w:r>
    </w:p>
    <w:p>
      <w:r>
        <w:t>승인된 월간집계기준으로 내부 일별·월간 오차율을 계산한다. 미수집 하루는 제외하고 명세의 정산 합계 범위는 별도 표기한다. 큰 오차일을 정비 기록과 대조하되 원인을 단정하지 않는다.</w:t>
      </w:r>
    </w:p>
    <w:p>
      <w:pPr>
        <w:pStyle w:val="Heading2"/>
      </w:pPr>
      <w:r>
        <w:t>4. 재검산과 확정</w:t>
      </w:r>
    </w:p>
    <w:p>
      <w:r>
        <w:t>행 수·유효 일수·금액 합계를 원본과 대조한다. 빈칸을 보완하면 해당 날짜와 월간 표를 다시 계산한다. 월간분석_가상.xlsx·월간보고_가상.pdf를 실제로 열어 검수하고, 담당자가 적용 규칙과 계약을 확인해 확정한다.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