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자금세탁방지부 내부통제 점검 결과</w:t>
      </w:r>
    </w:p>
    <w:p>
      <w:r>
        <w:t>책무: 의심거래 모니터링·보고 / 2026년 3분기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점검 항목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점검일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결과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증빙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부서장 확인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비고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이상거래 알림 검토 기한 점검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10/14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적정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첨부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확인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알림 212건 검토, 기한 내 완료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의심거래 보고서 작성 기록 점검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10/14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적정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첨부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확인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의심거래 보고 9건, 모두 기한 내</w:t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고객확인 갱신 점검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10/15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적정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첨부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확인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위험 고객 재평가 점검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10/15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적정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첨부 없음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확인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직원 교육 실시 점검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10/16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적정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첨부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  <w:t>확인</w:t>
            </w:r>
          </w:p>
        </w:tc>
        <w:tc>
          <w:tcPr>
            <w:tcW w:type="dxa" w:w="1440"/>
          </w:tcPr>
          <w:p>
            <w:r>
              <w:rPr>
                <w:rFonts w:ascii="맑은 고딕" w:hAnsi="맑은 고딕" w:eastAsia="맑은 고딕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