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고객·계좌와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AML팀장 메모 - 의심거래 사유서 작성 원칙</w:t>
      </w:r>
    </w:p>
    <w:p>
      <w:r>
        <w:t>JJ은행(가상) 자금세탁방지팀 / 대상: 알림 검토 담당자</w:t>
      </w:r>
    </w:p>
    <w:p>
      <w:r>
        <w:t>1. 사실과 의견을 나눠 쓴다. 금액·날짜·횟수는 사실 칸, 해석은 의견 칸.</w:t>
      </w:r>
    </w:p>
    <w:p>
      <w:r>
        <w:t>2. 사실에는 거래 번호나 날짜를 붙여 원본 거래내역에서 바로 찾을 수 있게 한다.</w:t>
      </w:r>
    </w:p>
    <w:p>
      <w:r>
        <w:t>3. 「자금세탁이다」「범죄 자금이다」처럼 단정하지 않는다. 「~한 정황이 있음」으로 쓴다.</w:t>
      </w:r>
    </w:p>
    <w:p>
      <w:r>
        <w:t>4. 기록에 없는 내용은 지어내지 않고 (확인 필요)로 남기고 누구에게 물을지 적는다.</w:t>
      </w:r>
    </w:p>
    <w:p>
      <w:r>
        <w:t>5. 고객 이름·계좌번호는 가명으로만 쓴다. 외부 도구에 올리기 전에 가린다.</w:t>
      </w:r>
    </w:p>
    <w:p>
      <w:r>
        <w:t>6. 보고 여부의 최종 판단은 담당자와 책임자가 한다. 초안에 보고하라/말라는 결론을 쓰지 않는다.</w:t>
      </w:r>
    </w:p>
    <w:p>
      <w:r>
        <w:t>7. 이 알림과 보고 검토 사실은 고객에게 알리지 않는다. 문의가 오면 정해진 절차대로 한다. (사내 규정 확인)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