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회사·인물과 무관(이름은 모두 가명)</w:t>
      </w:r>
    </w:p>
    <w:p>
      <w:pPr>
        <w:pStyle w:val="Heading1"/>
      </w:pPr>
      <w:r>
        <w:t>보험금 청구 검토 순서 메모 (결과 예시)</w:t>
      </w:r>
    </w:p>
    <w:p>
      <w:r>
        <w:t>다음 달에도 아래 순서대로 합니다. «새 서류를 접수서류 폴더에 넣었어, 지난번 순서대로 해줘»라고 부탁하면 됩니다.</w:t>
      </w:r>
    </w:p>
    <w:p>
      <w:r>
        <w:t>1. 접수서류 파일 수와 청구 건 수를 세고, 중복 파일·접수번호 빈칸·빠진 서류를 먼저 표시한다. 접수번호는 도장 표기가 달라도 같은 번호로 본다.</w:t>
      </w:r>
    </w:p>
    <w:p>
      <w:r>
        <w:t>2. 서류 이름이 아니라 서류 안에 적힌 접수번호로 건별로 묶는다. 짝지을 수 없으면 (확인 필요)로 남긴다.</w:t>
      </w:r>
    </w:p>
    <w:p>
      <w:r>
        <w:t>3. 앞 업무에서 정리한 보장 내용(상품 요약표 보장 부분)을 읽는다. 기준이 바뀌었으면 사람이 먼저 알려 준다.</w:t>
      </w:r>
    </w:p>
    <w:p>
      <w:r>
        <w:t>4. 청구 항목마다 보장 가능 · 보장 제외 · 보장 대상 아님 · 확인 필요 중 하나로 정하고, 약관 조항과 근거 서류를 붙인다. 나이는 가입할 때 기준이다.</w:t>
      </w:r>
    </w:p>
    <w:p>
      <w:r>
        <w:t>5. 검토표(엑셀)와 추가 확인 요청을 새 파일로 저장한다. 접수 서류 원본은 고치지 않는다.</w:t>
      </w:r>
    </w:p>
    <w:p>
      <w:r>
        <w:t>6. 건수를 다시 센다(청구 항목 = 가능 + 제외 + 대상 아님 + 확인 필요). 안 맞으면 어디서 틀렸는지 알려 준다.</w:t>
      </w:r>
    </w:p>
    <w:p>
      <w:r>
        <w:t>7. 판정은 후보일 뿐이다. 지급 여부와 지급액을 확정하는 건 담당자이고, 장해지급률처럼 모르는 것은 (확인 필요)로 표시한다.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