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sz w:val="32"/>
        </w:rPr>
        <w:t>예측제도 정산 기준 메모</w:t>
      </w:r>
    </w:p>
    <w:p>
      <w:r>
        <w:rPr>
          <w:color w:val="C01818"/>
          <w:sz w:val="18"/>
        </w:rPr>
        <w:t>교육 영상 시연용 가상 자료 · JJ에너지 신재생 운영·전력거래팀 · 한지우 대리 정리</w:t>
      </w:r>
    </w:p>
    <w:p>
      <w:r>
        <w:rPr>
          <w:rFonts w:ascii="맑은 고딕" w:hAnsi="맑은 고딕" w:eastAsia="맑은 고딕"/>
          <w:b/>
        </w:rPr>
        <w:t>※ 아래 단가와 구간은 교육용 예시입니다. 실제 업무에서는 최신 공고를 확인합니다 (확인 필요).</w:t>
      </w:r>
    </w:p>
    <w:p>
      <w:r>
        <w:rPr>
          <w:rFonts w:ascii="맑은 고딕" w:hAnsi="맑은 고딕" w:eastAsia="맑은 고딕"/>
          <w:b/>
        </w:rPr>
        <w:t>1. 오차율 계산 (교육용 단순화: 하루 단위)</w:t>
      </w:r>
    </w:p>
    <w:p>
      <w:r>
        <w:rPr>
          <w:rFonts w:ascii="맑은 고딕" w:hAnsi="맑은 고딕" w:eastAsia="맑은 고딕"/>
          <w:b w:val="0"/>
        </w:rPr>
        <w:t>오차율(%) = |실제 발전량 − 예측 발전량| ÷ 실제 발전량 × 100. 실제 제도는 시간별·설비용량 기준일 수 있어 (확인 필요).</w:t>
      </w:r>
    </w:p>
    <w:p>
      <w:r>
        <w:rPr>
          <w:rFonts w:ascii="맑은 고딕" w:hAnsi="맑은 고딕" w:eastAsia="맑은 고딕"/>
          <w:b/>
        </w:rPr>
        <w:t>2. 구간별 정산 단가 (원/kWh, 예시)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FFE066"/>
          </w:tcPr>
          <w:p>
            <w:r>
              <w:t>구간</w:t>
            </w:r>
          </w:p>
        </w:tc>
        <w:tc>
          <w:tcPr>
            <w:tcW w:type="dxa" w:w="2880"/>
            <w:shd w:val="clear" w:color="auto" w:fill="FFE066"/>
          </w:tcPr>
          <w:p>
            <w:r>
              <w:t>오차율</w:t>
            </w:r>
          </w:p>
        </w:tc>
        <w:tc>
          <w:tcPr>
            <w:tcW w:type="dxa" w:w="2880"/>
            <w:shd w:val="clear" w:color="auto" w:fill="FFE066"/>
          </w:tcPr>
          <w:p>
            <w:r>
              <w:t>단가</w:t>
            </w:r>
          </w:p>
        </w:tc>
      </w:tr>
      <w:tr>
        <w:tc>
          <w:tcPr>
            <w:tcW w:type="dxa" w:w="2880"/>
          </w:tcPr>
          <w:p>
            <w:r>
              <w:t>1구간</w:t>
            </w:r>
          </w:p>
        </w:tc>
        <w:tc>
          <w:tcPr>
            <w:tcW w:type="dxa" w:w="2880"/>
          </w:tcPr>
          <w:p>
            <w:r>
              <w:t>4% 이하</w:t>
            </w:r>
          </w:p>
        </w:tc>
        <w:tc>
          <w:tcPr>
            <w:tcW w:type="dxa" w:w="2880"/>
          </w:tcPr>
          <w:p>
            <w:r>
              <w:t>4원</w:t>
            </w:r>
          </w:p>
        </w:tc>
      </w:tr>
      <w:tr>
        <w:tc>
          <w:tcPr>
            <w:tcW w:type="dxa" w:w="2880"/>
          </w:tcPr>
          <w:p>
            <w:r>
              <w:t>2구간</w:t>
            </w:r>
          </w:p>
        </w:tc>
        <w:tc>
          <w:tcPr>
            <w:tcW w:type="dxa" w:w="2880"/>
          </w:tcPr>
          <w:p>
            <w:r>
              <w:t>4% 초과 ~ 8% 이하</w:t>
            </w:r>
          </w:p>
        </w:tc>
        <w:tc>
          <w:tcPr>
            <w:tcW w:type="dxa" w:w="2880"/>
          </w:tcPr>
          <w:p>
            <w:r>
              <w:t>3원</w:t>
            </w:r>
          </w:p>
        </w:tc>
      </w:tr>
      <w:tr>
        <w:tc>
          <w:tcPr>
            <w:tcW w:type="dxa" w:w="2880"/>
          </w:tcPr>
          <w:p>
            <w:r>
              <w:t>3구간</w:t>
            </w:r>
          </w:p>
        </w:tc>
        <w:tc>
          <w:tcPr>
            <w:tcW w:type="dxa" w:w="2880"/>
          </w:tcPr>
          <w:p>
            <w:r>
              <w:t>8% 초과</w:t>
            </w:r>
          </w:p>
        </w:tc>
        <w:tc>
          <w:tcPr>
            <w:tcW w:type="dxa" w:w="2880"/>
          </w:tcPr>
          <w:p>
            <w:r>
              <w:t>0원</w:t>
            </w:r>
          </w:p>
        </w:tc>
      </w:tr>
    </w:tbl>
    <w:p>
      <w:r>
        <w:rPr>
          <w:rFonts w:ascii="맑은 고딕" w:hAnsi="맑은 고딕" w:eastAsia="맑은 고딕"/>
          <w:b/>
        </w:rPr>
        <w:t>3. 계산 순서</w:t>
      </w:r>
    </w:p>
    <w:p>
      <w:r>
        <w:rPr>
          <w:rFonts w:ascii="맑은 고딕" w:hAnsi="맑은 고딕" w:eastAsia="맑은 고딕"/>
          <w:b w:val="0"/>
        </w:rPr>
        <w:t>· 하루·발전소마다 오차율을 구한다.</w:t>
      </w:r>
    </w:p>
    <w:p>
      <w:r>
        <w:rPr>
          <w:rFonts w:ascii="맑은 고딕" w:hAnsi="맑은 고딕" w:eastAsia="맑은 고딕"/>
          <w:b w:val="0"/>
        </w:rPr>
        <w:t>· 정산금 = 실제 발전량(kWh) × 구간 단가. 원 미만은 반올림.</w:t>
      </w:r>
    </w:p>
    <w:p>
      <w:r>
        <w:rPr>
          <w:rFonts w:ascii="맑은 고딕" w:hAnsi="맑은 고딕" w:eastAsia="맑은 고딕"/>
          <w:b w:val="0"/>
        </w:rPr>
        <w:t>· 놓친 정산금 = 실제 발전량 × 4원(최고 단가) − 정산금.</w:t>
      </w:r>
    </w:p>
    <w:p>
      <w:r>
        <w:rPr>
          <w:rFonts w:ascii="맑은 고딕" w:hAnsi="맑은 고딕" w:eastAsia="맑은 고딕"/>
          <w:b w:val="0"/>
        </w:rPr>
        <w:t>· 오차 큰 날 = 오차율 8% 초과인 날.</w:t>
      </w:r>
    </w:p>
    <w:p>
      <w:r>
        <w:rPr>
          <w:rFonts w:ascii="맑은 고딕" w:hAnsi="맑은 고딕" w:eastAsia="맑은 고딕"/>
          <w:b w:val="0"/>
        </w:rPr>
        <w:t>· 실적이 비어 있는 날은 계산에서 빼고, ‘확인 필요’ 시트에 따로 적는다 (추정해서 채우지 않는다).</w:t>
      </w:r>
    </w:p>
    <w:p>
      <w:r>
        <w:rPr>
          <w:rFonts w:ascii="맑은 고딕" w:hAnsi="맑은 고딕" w:eastAsia="맑은 고딕"/>
          <w:b w:val="0"/>
        </w:rPr>
        <w:t>· 단위가 다른 파일(MWh)은 kWh로 바꿔서 계산한다 (1 MWh = 1,000 kWh).</w:t>
      </w:r>
    </w:p>
    <w:p>
      <w:r>
        <w:rPr>
          <w:rFonts w:ascii="맑은 고딕" w:hAnsi="맑은 고딕" w:eastAsia="맑은 고딕"/>
          <w:b w:val="0"/>
        </w:rPr>
        <w:t>· 발전소 이름이 파일마다 다르면 발전소 목록의 공식 이름으로 맞춘다.</w:t>
      </w:r>
    </w:p>
    <w:p>
      <w:r>
        <w:rPr>
          <w:rFonts w:ascii="맑은 고딕" w:hAnsi="맑은 고딕" w:eastAsia="맑은 고딕"/>
          <w:b/>
        </w:rPr>
        <w:t>4. 월간 표에 들어갈 것</w:t>
      </w:r>
    </w:p>
    <w:p>
      <w:r>
        <w:rPr>
          <w:rFonts w:ascii="맑은 고딕" w:hAnsi="맑은 고딕" w:eastAsia="맑은 고딕"/>
          <w:b w:val="0"/>
        </w:rPr>
        <w:t>발전소별: 예측 합계, 실적 합계, 일 평균 오차율, 구간별 일수, 정산금, 놓친 정산금, 정산내역서와의 차이.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