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81414"/>
          <w:sz w:val="18"/>
        </w:rPr>
        <w:t>교육 영상 시연용 가상 자료 · 가상 기관 가상시 평생교육진흥원·JJ교육연구원 · 실제 기관과 무관</w:t>
      </w:r>
    </w:p>
    <w:p>
      <w:pPr>
        <w:pStyle w:val="Heading1"/>
      </w:pPr>
      <w:r>
        <w:rPr>
          <w:rFonts w:ascii="맑은 고딕" w:hAnsi="맑은 고딕" w:eastAsia="맑은 고딕"/>
          <w:color w:val="000000"/>
        </w:rPr>
        <w:t>가상시 시민 디지털 역량 교육 운영 용역 위험 조항과 대응 전략 (초안)</w:t>
      </w:r>
    </w:p>
    <w:p>
      <w:r>
        <w:t>AI가 만든 초안입니다. 입찰 참여 여부와 질의 내용은 담당자와 팀장이 최종 판단합니다.</w:t>
      </w:r>
    </w:p>
    <w:p>
      <w:pPr>
        <w:pStyle w:val="Heading2"/>
      </w:pPr>
      <w:r>
        <w:t>1. 두 문서가 어긋난 곳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항목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제안요청서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과업지시서</w:t>
            </w:r>
          </w:p>
        </w:tc>
      </w:tr>
      <w:tr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교육 총 시간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제안요청서 3쪽: 120시간 이상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과업지시서 제1조: 100시간</w:t>
            </w:r>
          </w:p>
        </w:tc>
      </w:tr>
    </w:tbl>
    <w:p>
      <w:r>
        <w:t>→ 어느 쪽이 맞는지 발주처에 질의 (확인 필요)</w:t>
      </w:r>
    </w:p>
    <w:p>
      <w:pPr>
        <w:pStyle w:val="Heading2"/>
      </w:pPr>
      <w:r>
        <w:t>2. 위험 조항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번호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조항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위험도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근거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확인할 것</w:t>
            </w:r>
          </w:p>
        </w:tc>
      </w:tr>
      <w:tr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K1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결과물(교재·영상 포함)의 저작권은 모두 발주처에 귀속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높음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제안요청서 5쪽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기존 교재를 제외하는 문구를 질의</w:t>
            </w:r>
          </w:p>
        </w:tc>
      </w:tr>
      <w:tr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K2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만족도 4.0 미만이면 대금 5% 감액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높음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과업지시서 제4조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측정 방법·대상을 질의</w:t>
            </w:r>
          </w:p>
        </w:tc>
      </w:tr>
      <w:tr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K3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발주처가 요청하는 부대 업무는 추가 비용 없이 수행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높음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과업지시서 제6조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범위를 문서로 정해 달라고 질의</w:t>
            </w:r>
          </w:p>
        </w:tc>
      </w:tr>
      <w:tr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K4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최종 검수 뒤 대금 일괄 지급, 선급금 없음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중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제안요청서 5쪽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중간 지급 가능 여부 질의</w:t>
            </w:r>
          </w:p>
        </w:tc>
      </w:tr>
      <w:tr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K5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지체상금 하루 계약금액의 0.15%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중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제안요청서 5쪽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관련 규정 확인(확인 필요)</w:t>
            </w:r>
          </w:p>
        </w:tc>
      </w:tr>
      <w:tr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K6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컴퓨터실 마련 비용은 수행기관 부담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중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과업지시서 제2조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가격 산출에 장소 비용 포함</w:t>
            </w:r>
          </w:p>
        </w:tc>
      </w:tr>
      <w:tr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K7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참여 인력 교체는 발주처 사전 승인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낮음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제안요청서 5쪽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대체 강사 후보 미리 정리</w:t>
            </w:r>
          </w:p>
        </w:tc>
      </w:tr>
    </w:tbl>
    <w:p>
      <w:pPr>
        <w:pStyle w:val="Heading2"/>
      </w:pPr>
      <w:r>
        <w:t>3. 평가항목별 대응 전략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평가항목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우리 강점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보강할 일</w:t>
            </w:r>
          </w:p>
        </w:tc>
      </w:tr>
      <w:tr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교육 과정 설계 25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12개 반을 기초·활용 두 수준으로 나눈 안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교재 샘플 2종을 제안서에 넣기</w:t>
            </w:r>
          </w:p>
        </w:tc>
      </w:tr>
      <w:tr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강사·수행 인력 20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책임 강사 후보 경력 7년 (R02 충족)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보조 강사 이력 정리, 대체 후보 1명</w:t>
            </w:r>
          </w:p>
        </w:tc>
      </w:tr>
      <w:tr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운영·관리 방안 15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컴퓨터실 24석, 야간·주말 6개 반 가능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교육장 사진과 배치도</w:t>
            </w:r>
          </w:p>
        </w:tc>
      </w:tr>
      <w:tr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수행 실적 10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해당 실적 3건 (4건 중)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계약서·수료 확인서 증빙 준비</w:t>
            </w:r>
          </w:p>
        </w:tc>
      </w:tr>
      <w:tr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성과관리·사후 지원 10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중간 설문 2회로 만족도 관리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4.0 미달 때 개선안 한 쪽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