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기관 가상시 평생교육진흥원·JJ교육연구원 · 실제 기관과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가상시 시민 디지털 역량 교육 운영 용역 과업지시서</w:t>
      </w:r>
    </w:p>
    <w:p>
      <w:r>
        <w:t>가상시 평생교육진흥원(가상) · 제안요청서와 함께 읽는 문서입니다.</w:t>
      </w:r>
    </w:p>
    <w:p>
      <w:pPr>
        <w:pStyle w:val="Heading3"/>
      </w:pPr>
      <w:r>
        <w:rPr>
          <w:rFonts w:ascii="맑은 고딕" w:hAnsi="맑은 고딕" w:eastAsia="맑은 고딕"/>
          <w:color w:val="000000"/>
        </w:rPr>
        <w:t>제1조 (교육 시간)</w:t>
      </w:r>
    </w:p>
    <w:p>
      <w:r>
        <w:t>수행기관은 반별로 총 100시간의 교육을 운영한다.</w:t>
      </w:r>
    </w:p>
    <w:p>
      <w:pPr>
        <w:pStyle w:val="Heading3"/>
      </w:pPr>
      <w:r>
        <w:rPr>
          <w:rFonts w:ascii="맑은 고딕" w:hAnsi="맑은 고딕" w:eastAsia="맑은 고딕"/>
          <w:color w:val="000000"/>
        </w:rPr>
        <w:t>제2조 (교육장)</w:t>
      </w:r>
    </w:p>
    <w:p>
      <w:r>
        <w:t>수행기관은 20명이 동시에 사용할 수 있는 컴퓨터실을 직접 마련하며, 그 비용은 수행기관이 부담한다.</w:t>
      </w:r>
    </w:p>
    <w:p>
      <w:pPr>
        <w:pStyle w:val="Heading3"/>
      </w:pPr>
      <w:r>
        <w:rPr>
          <w:rFonts w:ascii="맑은 고딕" w:hAnsi="맑은 고딕" w:eastAsia="맑은 고딕"/>
          <w:color w:val="000000"/>
        </w:rPr>
        <w:t>제3조 (보고)</w:t>
      </w:r>
    </w:p>
    <w:p>
      <w:r>
        <w:t>수행기관은 6월 말과 9월 말에 중간보고를 하고, 11월에 최종보고를 한다.</w:t>
      </w:r>
    </w:p>
    <w:p>
      <w:pPr>
        <w:pStyle w:val="Heading3"/>
      </w:pPr>
      <w:r>
        <w:rPr>
          <w:rFonts w:ascii="맑은 고딕" w:hAnsi="맑은 고딕" w:eastAsia="맑은 고딕"/>
          <w:color w:val="000000"/>
        </w:rPr>
        <w:t>제4조 (성과)</w:t>
      </w:r>
    </w:p>
    <w:p>
      <w:r>
        <w:t>수강생 만족도가 5점 만점에 4.0 미만이면 대금의 5%를 감액한다.</w:t>
      </w:r>
    </w:p>
    <w:p>
      <w:pPr>
        <w:pStyle w:val="Heading3"/>
      </w:pPr>
      <w:r>
        <w:rPr>
          <w:rFonts w:ascii="맑은 고딕" w:hAnsi="맑은 고딕" w:eastAsia="맑은 고딕"/>
          <w:color w:val="000000"/>
        </w:rPr>
        <w:t>제5조 (운영 방식)</w:t>
      </w:r>
    </w:p>
    <w:p>
      <w:r>
        <w:t>야간·주말 반을 4개 반 이상 운영하는 것을 권장한다. 수강 후기 영상 제작을 권장한다.</w:t>
      </w:r>
    </w:p>
    <w:p>
      <w:pPr>
        <w:pStyle w:val="Heading3"/>
      </w:pPr>
      <w:r>
        <w:rPr>
          <w:rFonts w:ascii="맑은 고딕" w:hAnsi="맑은 고딕" w:eastAsia="맑은 고딕"/>
          <w:color w:val="000000"/>
        </w:rPr>
        <w:t>제6조 (부대 업무)</w:t>
      </w:r>
    </w:p>
    <w:p>
      <w:r>
        <w:t>발주처가 요청하는 부대 업무는 추가 비용 없이 수행한다.</w:t>
      </w:r>
    </w:p>
    <w:p>
      <w:pPr>
        <w:pStyle w:val="Heading3"/>
      </w:pPr>
      <w:r>
        <w:rPr>
          <w:rFonts w:ascii="맑은 고딕" w:hAnsi="맑은 고딕" w:eastAsia="맑은 고딕"/>
          <w:color w:val="000000"/>
        </w:rPr>
        <w:t>제7조 (개인정보)</w:t>
      </w:r>
    </w:p>
    <w:p>
      <w:r>
        <w:t>수강생 정보는 교육 운영 목적으로만 쓰고, 종료 후 즉시 파기한다.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