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한결물류 · 장비 자금 비교 기준</w:t>
      </w:r>
    </w:p>
    <w:p>
      <w:pPr>
        <w:pStyle w:val="Heading1"/>
      </w:pPr>
      <w:r>
        <w:t>프로젝트 범위</w:t>
      </w:r>
    </w:p>
    <w:p>
      <w:r>
        <w:t>평택 물류 운영용 운반 장비를 120,000,000원에 도입한다. 장비가 필요한지는 이미 내부 검토를 마쳤다는 가정이다. 이번 작업은 장비 효과나 연간 예산을 다시 짜는 일이 아니라, 같은 장비를 위한 금융 조건을 비교하는 일이다.</w:t>
      </w:r>
    </w:p>
    <w:p>
      <w:pPr>
        <w:pStyle w:val="Heading1"/>
      </w:pPr>
      <w:r>
        <w:t>같은 기준</w:t>
      </w:r>
    </w:p>
    <w:p>
      <w:r>
        <w:t>시작일 2026-11-30, 첫 납부 2026-12-31, 36회째 2029-11-30. 36개월 뒤 한결물류가 소유하는 기준이다. 세금 제외 비교액이며, 세금 지급·환급 시점과 회계 처리는 별도 확인한다. 장비 사양과 유지비는 세 안에서 같다고 가정한다.</w:t>
      </w:r>
    </w:p>
    <w:p>
      <w:pPr>
        <w:pStyle w:val="Heading1"/>
      </w:pPr>
      <w:r>
        <w:t>회사 한도</w:t>
      </w:r>
    </w:p>
    <w:p>
      <w:r>
        <w:t>초기 세금 제외 비교지출 한도 20,000,000원. 정기 월 납부 한도 4,000,000원. 만기 인수금과 보증금 반환을 서로 차감할 수 있다는 서면 확인이 없으면, 같은 날이더라도 낼 돈 전액을 먼저 준비한다. 세금까지 반영한 실제 자금 확보는 결재 전 별도 확인한다.</w:t>
      </w:r>
    </w:p>
    <w:p>
      <w:r>
        <w:br w:type="page"/>
      </w:r>
    </w:p>
    <w:p>
      <w:r>
        <w:t>교육 영상 시연용 가상 자료</w:t>
      </w:r>
    </w:p>
    <w:p>
      <w:pPr>
        <w:pStyle w:val="Title"/>
      </w:pPr>
      <w:r>
        <w:t>원본을 정리할 때의 규칙</w:t>
      </w:r>
    </w:p>
    <w:p>
      <w:pPr>
        <w:pStyle w:val="Heading1"/>
      </w:pPr>
      <w:r>
        <w:t>366행의 의미</w:t>
      </w:r>
    </w:p>
    <w:p>
      <w:r>
        <w:t>기존금융납부기록은 기존 약정 납부 관리 자료다. 신규 세 제안의 이율을 추정하는 데 쓰지 않는다. 같은 약정번호·회차·금액은 3행이 재전달되어 있다. 금액 공란 2행과 납부일 공란 1행은 확인 전 집계에서 보류한다. 확정된 원래 360행만 정리하면 확인된 합계는 23,580,000원, 월별 1,965,000원이다. 보류 3행은 이 합계에 포함되지 않는다.</w:t>
      </w:r>
    </w:p>
    <w:p>
      <w:pPr>
        <w:pStyle w:val="Heading1"/>
      </w:pPr>
      <w:r>
        <w:t>단위·출처</w:t>
      </w:r>
    </w:p>
    <w:p>
      <w:r>
        <w:t>가온 은행과 가온은행은 같은 가상 기관이다. 나래 캐피탈과 나래캐피탈도 같다. 날짜의 점·붙임표, 금액의 원·쉼표, 제안서의 천 원 표기를 통일한다. 바꾼 전후 값을 정리 기록에 남긴다. 같은 약정번호라도 금액이 다르면 중복이라 단정하지 않는다.</w:t>
      </w:r>
    </w:p>
    <w:p>
      <w:pPr>
        <w:pStyle w:val="Heading1"/>
      </w:pPr>
      <w:r>
        <w:t>빈칸 처리</w:t>
      </w:r>
    </w:p>
    <w:p>
      <w:r>
        <w:t>리스 보증금 반환 조건은 제안서에서 비어 있다. 11월 3일 받은 회신 메모를 읽어 반환액과 날짜만 보완한다. 차감 정산 여부는 답이 없으므로 확인 필요로 유지한다. 대출 중도 상환 조건도 미확정이다.</w:t>
      </w:r>
    </w:p>
    <w:p>
      <w:r>
        <w:br w:type="page"/>
      </w:r>
    </w:p>
    <w:p>
      <w:r>
        <w:t>교육 영상 시연용 가상 자료</w:t>
      </w:r>
    </w:p>
    <w:p>
      <w:pPr>
        <w:pStyle w:val="Title"/>
      </w:pPr>
      <w:r>
        <w:t>보고와 다음 검토</w:t>
      </w:r>
    </w:p>
    <w:p>
      <w:pPr>
        <w:pStyle w:val="Heading1"/>
      </w:pPr>
      <w:r>
        <w:t>비교할 숫자</w:t>
      </w:r>
    </w:p>
    <w:p>
      <w:r>
        <w:t>총지출은 기간 중 낼 돈 전부의 합이다. 순지출은 총지출에서 돌려받는 보증금을 뺀 값이다. 장비 가격을 뺀 차액은 추가 부담으로 부른다. 리스·할부의 차액 전체를 대출 이자라고 부르지 않는다. 현재가치·절세 효과·실제 수익률 비교는 이번 범위에서 다루지 않는다.</w:t>
      </w:r>
    </w:p>
    <w:p>
      <w:pPr>
        <w:pStyle w:val="Heading1"/>
      </w:pPr>
      <w:r>
        <w:t>검증과 승인</w:t>
      </w:r>
    </w:p>
    <w:p>
      <w:r>
        <w:t>대출 매월 초 원금·원금 상환·이자·기말 잔액을 대조한다. 원금 합 108,000,000원과 끝 잔액 0원을 먼저 확인한다. 리스의 인수금·보증금 반환은 서로 다른 칸에 기록한다. 할부의 선납금은 반환금이 아니다. 재무팀이 대조하고 팀장이 조건부 검토 의견을 확인한다.</w:t>
      </w:r>
    </w:p>
    <w:p>
      <w:pPr>
        <w:pStyle w:val="Heading1"/>
      </w:pPr>
      <w:r>
        <w:t>반복 업무</w:t>
      </w:r>
    </w:p>
    <w:p>
      <w:r>
        <w:t>제안 유효일 전 새 제안·회신을 받으면 원본은 보관하고 날짜를 붙인 새 비교표를 만든다. 다음 달에도 비교 기준·출처·보류·재계산·보고 순서를 유지한다. 조건이 바뀌지 않았다는 확인 없이 이전 추천을 이어 쓰지 않는다. 외부 발송이나 실제 지급은 하지 않는다.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